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D3CF3" w14:textId="77777777" w:rsidR="002E2D3A" w:rsidRDefault="00000000">
      <w:pPr>
        <w:jc w:val="center"/>
        <w:rPr>
          <w:lang w:eastAsia="zh-CN"/>
        </w:rPr>
      </w:pPr>
      <w:r>
        <w:rPr>
          <w:b/>
          <w:color w:val="1F4E79"/>
          <w:sz w:val="40"/>
          <w:lang w:eastAsia="zh-CN"/>
        </w:rPr>
        <w:t>计算机与电子信息类国际高水平期刊 TOP10</w:t>
      </w:r>
      <w:r>
        <w:rPr>
          <w:b/>
          <w:color w:val="1F4E79"/>
          <w:sz w:val="40"/>
          <w:lang w:eastAsia="zh-CN"/>
        </w:rPr>
        <w:br/>
        <w:t>及 2026 培养方案认定建议</w:t>
      </w:r>
    </w:p>
    <w:p w14:paraId="32583488" w14:textId="77777777" w:rsidR="002E2D3A" w:rsidRDefault="00000000">
      <w:pPr>
        <w:jc w:val="center"/>
        <w:rPr>
          <w:lang w:eastAsia="zh-CN"/>
        </w:rPr>
      </w:pPr>
      <w:r>
        <w:rPr>
          <w:color w:val="595959"/>
          <w:sz w:val="24"/>
          <w:lang w:eastAsia="zh-CN"/>
        </w:rPr>
        <w:t>面向学工委员会讨论与研究生培养方案修订的参考材料</w:t>
      </w:r>
    </w:p>
    <w:p w14:paraId="7CE421CA" w14:textId="77777777" w:rsidR="002E2D3A" w:rsidRDefault="00000000">
      <w:pPr>
        <w:jc w:val="center"/>
      </w:pPr>
      <w:r>
        <w:rPr>
          <w:color w:val="595959"/>
          <w:sz w:val="19"/>
        </w:rPr>
        <w:t>版本：2026年参考版｜数据口径：2025 JCR 发布的 2024 Journal Impact Factor + QS/THE/U.S. News 国际高校排名参照</w:t>
      </w:r>
    </w:p>
    <w:tbl>
      <w:tblPr>
        <w:tblW w:w="0" w:type="auto"/>
        <w:jc w:val="center"/>
        <w:tblBorders>
          <w:top w:val="single" w:sz="12" w:space="0" w:color="5B9BD5"/>
          <w:left w:val="single" w:sz="12" w:space="0" w:color="5B9BD5"/>
          <w:bottom w:val="single" w:sz="12" w:space="0" w:color="5B9BD5"/>
          <w:right w:val="single" w:sz="12" w:space="0" w:color="5B9BD5"/>
          <w:insideH w:val="single" w:sz="12" w:space="0" w:color="5B9BD5"/>
          <w:insideV w:val="single" w:sz="12" w:space="0" w:color="5B9BD5"/>
        </w:tblBorders>
        <w:tblLook w:val="04A0" w:firstRow="1" w:lastRow="0" w:firstColumn="1" w:lastColumn="0" w:noHBand="0" w:noVBand="1"/>
      </w:tblPr>
      <w:tblGrid>
        <w:gridCol w:w="10170"/>
      </w:tblGrid>
      <w:tr w:rsidR="002E2D3A" w14:paraId="005DA8A0" w14:textId="77777777">
        <w:trPr>
          <w:jc w:val="center"/>
        </w:trPr>
        <w:tc>
          <w:tcPr>
            <w:tcW w:w="10200" w:type="dxa"/>
            <w:shd w:val="clear" w:color="auto" w:fill="EAF2F8"/>
          </w:tcPr>
          <w:p w14:paraId="56F14129" w14:textId="77777777" w:rsidR="002E2D3A" w:rsidRDefault="00000000">
            <w:pPr>
              <w:spacing w:after="40"/>
              <w:rPr>
                <w:lang w:eastAsia="zh-CN"/>
              </w:rPr>
            </w:pPr>
            <w:r>
              <w:rPr>
                <w:b/>
                <w:color w:val="1F4E79"/>
                <w:lang w:eastAsia="zh-CN"/>
              </w:rPr>
              <w:t>核心结论：</w:t>
            </w:r>
            <w:r>
              <w:rPr>
                <w:lang w:eastAsia="zh-CN"/>
              </w:rPr>
              <w:t xml:space="preserve"> 国际上目前没有由 QS、THE、U.S. News 联合发布的“计算机与电子信息类 TOP10 期刊”统一标准。QS、THE、U.S. News 主要是大学/学科排名，不能直接作为期刊排名依据；用于培养方案时，建议采用“国际高校排名作参照、JCR 作期刊评价依据、学科相关性作边界”的综合认定框架。</w:t>
            </w:r>
          </w:p>
        </w:tc>
      </w:tr>
    </w:tbl>
    <w:p w14:paraId="27593F1B" w14:textId="5CA93D0B" w:rsidR="002E2D3A" w:rsidRDefault="00317E1B">
      <w:pPr>
        <w:pStyle w:val="1"/>
        <w:spacing w:before="160" w:after="80"/>
        <w:rPr>
          <w:lang w:eastAsia="zh-CN"/>
        </w:rPr>
      </w:pPr>
      <w:r>
        <w:rPr>
          <w:rFonts w:ascii="宋体" w:eastAsia="宋体" w:hAnsi="宋体" w:cs="宋体" w:hint="eastAsia"/>
          <w:color w:val="1F4E79"/>
          <w:sz w:val="30"/>
          <w:lang w:eastAsia="zh-CN"/>
        </w:rPr>
        <w:t>一</w:t>
      </w:r>
      <w:r w:rsidR="00000000">
        <w:rPr>
          <w:rFonts w:ascii="Noto Sans CJK SC" w:eastAsia="Noto Sans CJK SC" w:hAnsi="Noto Sans CJK SC"/>
          <w:color w:val="1F4E79"/>
          <w:sz w:val="30"/>
          <w:lang w:eastAsia="zh-CN"/>
        </w:rPr>
        <w:t>、2026 年建议采用的通用国际参照框架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ook w:val="04A0" w:firstRow="1" w:lastRow="0" w:firstColumn="1" w:lastColumn="0" w:noHBand="0" w:noVBand="1"/>
      </w:tblPr>
      <w:tblGrid>
        <w:gridCol w:w="2545"/>
        <w:gridCol w:w="2548"/>
        <w:gridCol w:w="2545"/>
        <w:gridCol w:w="2546"/>
      </w:tblGrid>
      <w:tr w:rsidR="002E2D3A" w14:paraId="73F9CB8E" w14:textId="77777777">
        <w:trPr>
          <w:tblHeader/>
          <w:jc w:val="center"/>
        </w:trPr>
        <w:tc>
          <w:tcPr>
            <w:tcW w:w="2550" w:type="dxa"/>
            <w:shd w:val="clear" w:color="auto" w:fill="1F4E79"/>
            <w:vAlign w:val="center"/>
          </w:tcPr>
          <w:p w14:paraId="25D6C474" w14:textId="77777777" w:rsidR="002E2D3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层级</w:t>
            </w:r>
          </w:p>
        </w:tc>
        <w:tc>
          <w:tcPr>
            <w:tcW w:w="2550" w:type="dxa"/>
            <w:shd w:val="clear" w:color="auto" w:fill="1F4E79"/>
            <w:vAlign w:val="center"/>
          </w:tcPr>
          <w:p w14:paraId="3B3B6138" w14:textId="77777777" w:rsidR="002E2D3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建议采用的国际依据</w:t>
            </w:r>
          </w:p>
        </w:tc>
        <w:tc>
          <w:tcPr>
            <w:tcW w:w="2550" w:type="dxa"/>
            <w:shd w:val="clear" w:color="auto" w:fill="1F4E79"/>
            <w:vAlign w:val="center"/>
          </w:tcPr>
          <w:p w14:paraId="700D7B54" w14:textId="77777777" w:rsidR="002E2D3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在培养方案中的作用</w:t>
            </w:r>
          </w:p>
        </w:tc>
        <w:tc>
          <w:tcPr>
            <w:tcW w:w="2550" w:type="dxa"/>
            <w:shd w:val="clear" w:color="auto" w:fill="1F4E79"/>
            <w:vAlign w:val="center"/>
          </w:tcPr>
          <w:p w14:paraId="50414B7D" w14:textId="77777777" w:rsidR="002E2D3A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使用说明</w:t>
            </w:r>
          </w:p>
        </w:tc>
      </w:tr>
      <w:tr w:rsidR="002E2D3A" w14:paraId="6F4C8340" w14:textId="77777777">
        <w:trPr>
          <w:jc w:val="center"/>
        </w:trPr>
        <w:tc>
          <w:tcPr>
            <w:tcW w:w="2550" w:type="dxa"/>
            <w:shd w:val="clear" w:color="auto" w:fill="F7FBFF"/>
            <w:vAlign w:val="center"/>
          </w:tcPr>
          <w:p w14:paraId="5102FBEC" w14:textId="77777777" w:rsidR="002E2D3A" w:rsidRDefault="00000000">
            <w:pPr>
              <w:jc w:val="center"/>
            </w:pPr>
            <w:r>
              <w:rPr>
                <w:sz w:val="17"/>
              </w:rPr>
              <w:t>高校参照层</w:t>
            </w:r>
          </w:p>
        </w:tc>
        <w:tc>
          <w:tcPr>
            <w:tcW w:w="2550" w:type="dxa"/>
            <w:shd w:val="clear" w:color="auto" w:fill="F7FBFF"/>
            <w:vAlign w:val="center"/>
          </w:tcPr>
          <w:p w14:paraId="7A8777F4" w14:textId="77777777" w:rsidR="002E2D3A" w:rsidRDefault="00000000">
            <w:r>
              <w:rPr>
                <w:sz w:val="17"/>
              </w:rPr>
              <w:t>QS World University Rankings 2026；THE World University Rankings 2026；U.S. News Best Global Universities 2025-2026</w:t>
            </w:r>
          </w:p>
        </w:tc>
        <w:tc>
          <w:tcPr>
            <w:tcW w:w="2550" w:type="dxa"/>
            <w:shd w:val="clear" w:color="auto" w:fill="F7FBFF"/>
            <w:vAlign w:val="center"/>
          </w:tcPr>
          <w:p w14:paraId="3A11C912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用于说明培养方案对标国际前 200 高校的学科建设与科研导向</w:t>
            </w:r>
          </w:p>
        </w:tc>
        <w:tc>
          <w:tcPr>
            <w:tcW w:w="2550" w:type="dxa"/>
            <w:shd w:val="clear" w:color="auto" w:fill="F7FBFF"/>
            <w:vAlign w:val="center"/>
          </w:tcPr>
          <w:p w14:paraId="575B9413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可作为“国际一流高校参照样本”，但不直接用于期刊排序</w:t>
            </w:r>
          </w:p>
        </w:tc>
      </w:tr>
      <w:tr w:rsidR="002E2D3A" w14:paraId="3F7F607B" w14:textId="77777777">
        <w:trPr>
          <w:jc w:val="center"/>
        </w:trPr>
        <w:tc>
          <w:tcPr>
            <w:tcW w:w="2550" w:type="dxa"/>
            <w:vAlign w:val="center"/>
          </w:tcPr>
          <w:p w14:paraId="65543319" w14:textId="77777777" w:rsidR="002E2D3A" w:rsidRDefault="00000000">
            <w:pPr>
              <w:jc w:val="center"/>
            </w:pPr>
            <w:r>
              <w:rPr>
                <w:sz w:val="17"/>
              </w:rPr>
              <w:t>期刊评价层</w:t>
            </w:r>
          </w:p>
        </w:tc>
        <w:tc>
          <w:tcPr>
            <w:tcW w:w="2550" w:type="dxa"/>
            <w:vAlign w:val="center"/>
          </w:tcPr>
          <w:p w14:paraId="6A3921DE" w14:textId="77777777" w:rsidR="002E2D3A" w:rsidRDefault="00000000">
            <w:r>
              <w:rPr>
                <w:sz w:val="17"/>
              </w:rPr>
              <w:t>Clarivate Journal Citation Reports（JCR）；Web of Science Core Collection；必要时参考 Scopus CiteScore / SJR</w:t>
            </w:r>
          </w:p>
        </w:tc>
        <w:tc>
          <w:tcPr>
            <w:tcW w:w="2550" w:type="dxa"/>
            <w:vAlign w:val="center"/>
          </w:tcPr>
          <w:p w14:paraId="2CD52F0C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用于认定高水平国际期刊、JCR 分区、影响因子、JCI 等</w:t>
            </w:r>
          </w:p>
        </w:tc>
        <w:tc>
          <w:tcPr>
            <w:tcW w:w="2550" w:type="dxa"/>
            <w:vAlign w:val="center"/>
          </w:tcPr>
          <w:p w14:paraId="097A9A55" w14:textId="77777777" w:rsidR="002E2D3A" w:rsidRDefault="00000000">
            <w:r>
              <w:rPr>
                <w:sz w:val="17"/>
              </w:rPr>
              <w:t>建议作为 TOP10 期刊遴选的主依据</w:t>
            </w:r>
          </w:p>
        </w:tc>
      </w:tr>
      <w:tr w:rsidR="002E2D3A" w14:paraId="15624E98" w14:textId="77777777">
        <w:trPr>
          <w:jc w:val="center"/>
        </w:trPr>
        <w:tc>
          <w:tcPr>
            <w:tcW w:w="2550" w:type="dxa"/>
            <w:shd w:val="clear" w:color="auto" w:fill="F7FBFF"/>
            <w:vAlign w:val="center"/>
          </w:tcPr>
          <w:p w14:paraId="14A531F7" w14:textId="77777777" w:rsidR="002E2D3A" w:rsidRDefault="00000000">
            <w:pPr>
              <w:jc w:val="center"/>
            </w:pPr>
            <w:r>
              <w:rPr>
                <w:sz w:val="17"/>
              </w:rPr>
              <w:t>学科边界层</w:t>
            </w:r>
          </w:p>
        </w:tc>
        <w:tc>
          <w:tcPr>
            <w:tcW w:w="2550" w:type="dxa"/>
            <w:shd w:val="clear" w:color="auto" w:fill="F7FBFF"/>
            <w:vAlign w:val="center"/>
          </w:tcPr>
          <w:p w14:paraId="207A9E0F" w14:textId="77777777" w:rsidR="002E2D3A" w:rsidRDefault="00000000">
            <w:r>
              <w:rPr>
                <w:sz w:val="17"/>
              </w:rPr>
              <w:t>Computer Science、Telecommunications、Engineering, Electrical &amp; Electronic、Automation &amp; Control Systems、Robotics 等 JCR 类别</w:t>
            </w:r>
          </w:p>
        </w:tc>
        <w:tc>
          <w:tcPr>
            <w:tcW w:w="2550" w:type="dxa"/>
            <w:shd w:val="clear" w:color="auto" w:fill="F7FBFF"/>
            <w:vAlign w:val="center"/>
          </w:tcPr>
          <w:p w14:paraId="1B0E6A50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限定计算机、人工智能、通信、电子信息、自动化控制等相关方向</w:t>
            </w:r>
          </w:p>
        </w:tc>
        <w:tc>
          <w:tcPr>
            <w:tcW w:w="2550" w:type="dxa"/>
            <w:shd w:val="clear" w:color="auto" w:fill="F7FBFF"/>
            <w:vAlign w:val="center"/>
          </w:tcPr>
          <w:p w14:paraId="13112FC5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避免将医学、纯材料、纯物理等非本学科期刊误列入目录</w:t>
            </w:r>
          </w:p>
        </w:tc>
      </w:tr>
      <w:tr w:rsidR="002E2D3A" w14:paraId="5F89BBE5" w14:textId="77777777">
        <w:trPr>
          <w:jc w:val="center"/>
        </w:trPr>
        <w:tc>
          <w:tcPr>
            <w:tcW w:w="2550" w:type="dxa"/>
            <w:vAlign w:val="center"/>
          </w:tcPr>
          <w:p w14:paraId="776DCF45" w14:textId="77777777" w:rsidR="002E2D3A" w:rsidRDefault="00000000">
            <w:pPr>
              <w:jc w:val="center"/>
            </w:pPr>
            <w:r>
              <w:rPr>
                <w:sz w:val="17"/>
              </w:rPr>
              <w:t>国内辅助层</w:t>
            </w:r>
          </w:p>
        </w:tc>
        <w:tc>
          <w:tcPr>
            <w:tcW w:w="2550" w:type="dxa"/>
            <w:vAlign w:val="center"/>
          </w:tcPr>
          <w:p w14:paraId="4AB570CB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CCF 推荐目录、中科院分区、学校科研管理文件</w:t>
            </w:r>
          </w:p>
        </w:tc>
        <w:tc>
          <w:tcPr>
            <w:tcW w:w="2550" w:type="dxa"/>
            <w:vAlign w:val="center"/>
          </w:tcPr>
          <w:p w14:paraId="2DB4F6C9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用于与国内研究生培养、导师评价、成果认定口径衔接</w:t>
            </w:r>
          </w:p>
        </w:tc>
        <w:tc>
          <w:tcPr>
            <w:tcW w:w="2550" w:type="dxa"/>
            <w:vAlign w:val="center"/>
          </w:tcPr>
          <w:p w14:paraId="126C4B19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建议作为辅助，不宜替代国际数据库指标</w:t>
            </w:r>
          </w:p>
        </w:tc>
      </w:tr>
    </w:tbl>
    <w:p w14:paraId="41FA3AC6" w14:textId="77777777" w:rsidR="002E2D3A" w:rsidRDefault="00000000">
      <w:pPr>
        <w:spacing w:after="80" w:line="283" w:lineRule="auto"/>
        <w:rPr>
          <w:lang w:eastAsia="zh-CN"/>
        </w:rPr>
      </w:pPr>
      <w:r>
        <w:rPr>
          <w:lang w:eastAsia="zh-CN"/>
        </w:rPr>
        <w:t>建议在正式文件中使用“动态目录”表述，即每年以最新版 JCR 和学校科研管理部门最新文件更新，不把某一年影响因子写死为长期标准。</w:t>
      </w:r>
    </w:p>
    <w:p w14:paraId="6D042486" w14:textId="151B8BAE" w:rsidR="002E2D3A" w:rsidRDefault="00317E1B">
      <w:pPr>
        <w:pStyle w:val="1"/>
        <w:spacing w:before="160" w:after="80"/>
        <w:rPr>
          <w:lang w:eastAsia="zh-CN"/>
        </w:rPr>
      </w:pPr>
      <w:r>
        <w:rPr>
          <w:rFonts w:ascii="宋体" w:eastAsia="宋体" w:hAnsi="宋体" w:cs="宋体" w:hint="eastAsia"/>
          <w:color w:val="1F4E79"/>
          <w:sz w:val="30"/>
          <w:lang w:eastAsia="zh-CN"/>
        </w:rPr>
        <w:t>二</w:t>
      </w:r>
      <w:r w:rsidR="00000000">
        <w:rPr>
          <w:rFonts w:ascii="Noto Sans CJK SC" w:eastAsia="Noto Sans CJK SC" w:hAnsi="Noto Sans CJK SC"/>
          <w:color w:val="1F4E79"/>
          <w:sz w:val="30"/>
          <w:lang w:eastAsia="zh-CN"/>
        </w:rPr>
        <w:t>、计算机与电子信息类国际高水平期刊 TOP10 参考目录</w:t>
      </w:r>
    </w:p>
    <w:p w14:paraId="52FA1699" w14:textId="77777777" w:rsidR="002E2D3A" w:rsidRDefault="00000000">
      <w:pPr>
        <w:spacing w:after="80" w:line="283" w:lineRule="auto"/>
        <w:rPr>
          <w:lang w:eastAsia="zh-CN"/>
        </w:rPr>
      </w:pPr>
      <w:r>
        <w:rPr>
          <w:lang w:eastAsia="zh-CN"/>
        </w:rPr>
        <w:t>说明：下表以 2025 JCR 发布的 2024 Journal Impact Factor 为主要数据口径，并结合计算机、人工智能、通信、电子信息、自动化控制等学科相关性进行综合整理。该目录适合作为 2026 年培养方案讨论的参考目录，不建议作为永久固定名单。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ook w:val="04A0" w:firstRow="1" w:lastRow="0" w:firstColumn="1" w:lastColumn="0" w:noHBand="0" w:noVBand="1"/>
      </w:tblPr>
      <w:tblGrid>
        <w:gridCol w:w="623"/>
        <w:gridCol w:w="3005"/>
        <w:gridCol w:w="907"/>
        <w:gridCol w:w="1814"/>
        <w:gridCol w:w="3572"/>
      </w:tblGrid>
      <w:tr w:rsidR="002E2D3A" w14:paraId="43CB0D5F" w14:textId="77777777">
        <w:trPr>
          <w:tblHeader/>
          <w:jc w:val="center"/>
        </w:trPr>
        <w:tc>
          <w:tcPr>
            <w:tcW w:w="623" w:type="dxa"/>
            <w:shd w:val="clear" w:color="auto" w:fill="1F4E79"/>
            <w:vAlign w:val="center"/>
          </w:tcPr>
          <w:p w14:paraId="5F41D767" w14:textId="77777777" w:rsidR="002E2D3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排名</w:t>
            </w:r>
          </w:p>
        </w:tc>
        <w:tc>
          <w:tcPr>
            <w:tcW w:w="3005" w:type="dxa"/>
            <w:shd w:val="clear" w:color="auto" w:fill="1F4E79"/>
            <w:vAlign w:val="center"/>
          </w:tcPr>
          <w:p w14:paraId="7BF172DD" w14:textId="77777777" w:rsidR="002E2D3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期刊名称</w:t>
            </w:r>
          </w:p>
        </w:tc>
        <w:tc>
          <w:tcPr>
            <w:tcW w:w="907" w:type="dxa"/>
            <w:shd w:val="clear" w:color="auto" w:fill="1F4E79"/>
            <w:vAlign w:val="center"/>
          </w:tcPr>
          <w:p w14:paraId="78D0906D" w14:textId="77777777" w:rsidR="002E2D3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2024 JIF</w:t>
            </w:r>
          </w:p>
        </w:tc>
        <w:tc>
          <w:tcPr>
            <w:tcW w:w="1814" w:type="dxa"/>
            <w:shd w:val="clear" w:color="auto" w:fill="1F4E79"/>
            <w:vAlign w:val="center"/>
          </w:tcPr>
          <w:p w14:paraId="7441A772" w14:textId="77777777" w:rsidR="002E2D3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主要方向</w:t>
            </w:r>
          </w:p>
        </w:tc>
        <w:tc>
          <w:tcPr>
            <w:tcW w:w="3572" w:type="dxa"/>
            <w:shd w:val="clear" w:color="auto" w:fill="1F4E79"/>
            <w:vAlign w:val="center"/>
          </w:tcPr>
          <w:p w14:paraId="15C1B861" w14:textId="77777777" w:rsidR="002E2D3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建议认定说明</w:t>
            </w:r>
          </w:p>
        </w:tc>
      </w:tr>
      <w:tr w:rsidR="002E2D3A" w14:paraId="449E2EFB" w14:textId="77777777">
        <w:trPr>
          <w:jc w:val="center"/>
        </w:trPr>
        <w:tc>
          <w:tcPr>
            <w:tcW w:w="623" w:type="dxa"/>
            <w:shd w:val="clear" w:color="auto" w:fill="F7FBFF"/>
            <w:vAlign w:val="center"/>
          </w:tcPr>
          <w:p w14:paraId="5FCCCED3" w14:textId="77777777" w:rsidR="002E2D3A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005" w:type="dxa"/>
            <w:shd w:val="clear" w:color="auto" w:fill="F7FBFF"/>
            <w:vAlign w:val="center"/>
          </w:tcPr>
          <w:p w14:paraId="4F276246" w14:textId="77777777" w:rsidR="002E2D3A" w:rsidRDefault="00000000">
            <w:r>
              <w:rPr>
                <w:sz w:val="16"/>
              </w:rPr>
              <w:t>IEEE Communications Surveys &amp; Tutorials</w:t>
            </w:r>
          </w:p>
        </w:tc>
        <w:tc>
          <w:tcPr>
            <w:tcW w:w="907" w:type="dxa"/>
            <w:shd w:val="clear" w:color="auto" w:fill="F7FBFF"/>
            <w:vAlign w:val="center"/>
          </w:tcPr>
          <w:p w14:paraId="34F1E74E" w14:textId="77777777" w:rsidR="002E2D3A" w:rsidRDefault="00000000">
            <w:pPr>
              <w:jc w:val="center"/>
            </w:pPr>
            <w:r>
              <w:rPr>
                <w:sz w:val="16"/>
              </w:rPr>
              <w:t>46.7</w:t>
            </w:r>
          </w:p>
        </w:tc>
        <w:tc>
          <w:tcPr>
            <w:tcW w:w="1814" w:type="dxa"/>
            <w:shd w:val="clear" w:color="auto" w:fill="F7FBFF"/>
            <w:vAlign w:val="center"/>
          </w:tcPr>
          <w:p w14:paraId="3F4366F0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通信、网络、信息系统</w:t>
            </w:r>
          </w:p>
        </w:tc>
        <w:tc>
          <w:tcPr>
            <w:tcW w:w="3572" w:type="dxa"/>
            <w:shd w:val="clear" w:color="auto" w:fill="F7FBFF"/>
            <w:vAlign w:val="center"/>
          </w:tcPr>
          <w:p w14:paraId="17D0E998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通信与网络方向顶级综述期刊，适合作为电子信息/通信方向高水平期刊代表。</w:t>
            </w:r>
          </w:p>
        </w:tc>
      </w:tr>
      <w:tr w:rsidR="002E2D3A" w14:paraId="3D07E023" w14:textId="77777777">
        <w:trPr>
          <w:jc w:val="center"/>
        </w:trPr>
        <w:tc>
          <w:tcPr>
            <w:tcW w:w="623" w:type="dxa"/>
            <w:vAlign w:val="center"/>
          </w:tcPr>
          <w:p w14:paraId="037D26F5" w14:textId="77777777" w:rsidR="002E2D3A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005" w:type="dxa"/>
            <w:vAlign w:val="center"/>
          </w:tcPr>
          <w:p w14:paraId="734C3B53" w14:textId="77777777" w:rsidR="002E2D3A" w:rsidRDefault="00000000">
            <w:r>
              <w:rPr>
                <w:sz w:val="16"/>
              </w:rPr>
              <w:t>Nature Electronics</w:t>
            </w:r>
          </w:p>
        </w:tc>
        <w:tc>
          <w:tcPr>
            <w:tcW w:w="907" w:type="dxa"/>
            <w:vAlign w:val="center"/>
          </w:tcPr>
          <w:p w14:paraId="4E8CD371" w14:textId="77777777" w:rsidR="002E2D3A" w:rsidRDefault="00000000">
            <w:pPr>
              <w:jc w:val="center"/>
            </w:pPr>
            <w:r>
              <w:rPr>
                <w:sz w:val="16"/>
              </w:rPr>
              <w:t>40.9</w:t>
            </w:r>
          </w:p>
        </w:tc>
        <w:tc>
          <w:tcPr>
            <w:tcW w:w="1814" w:type="dxa"/>
            <w:vAlign w:val="center"/>
          </w:tcPr>
          <w:p w14:paraId="0B986C4C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电子、半导体、器件、芯片</w:t>
            </w:r>
          </w:p>
        </w:tc>
        <w:tc>
          <w:tcPr>
            <w:tcW w:w="3572" w:type="dxa"/>
            <w:vAlign w:val="center"/>
          </w:tcPr>
          <w:p w14:paraId="717F55B4" w14:textId="77777777" w:rsidR="002E2D3A" w:rsidRDefault="00000000">
            <w:r>
              <w:rPr>
                <w:sz w:val="16"/>
              </w:rPr>
              <w:t>Nature 旗下电子信息方向顶刊，适合电子工程、芯片、器件与新型电子系统方向。</w:t>
            </w:r>
          </w:p>
        </w:tc>
      </w:tr>
      <w:tr w:rsidR="002E2D3A" w14:paraId="7ED71950" w14:textId="77777777">
        <w:trPr>
          <w:jc w:val="center"/>
        </w:trPr>
        <w:tc>
          <w:tcPr>
            <w:tcW w:w="623" w:type="dxa"/>
            <w:shd w:val="clear" w:color="auto" w:fill="F7FBFF"/>
            <w:vAlign w:val="center"/>
          </w:tcPr>
          <w:p w14:paraId="722E8165" w14:textId="77777777" w:rsidR="002E2D3A" w:rsidRDefault="00000000">
            <w:pPr>
              <w:jc w:val="center"/>
            </w:pPr>
            <w:r>
              <w:rPr>
                <w:sz w:val="16"/>
              </w:rPr>
              <w:lastRenderedPageBreak/>
              <w:t>3</w:t>
            </w:r>
          </w:p>
        </w:tc>
        <w:tc>
          <w:tcPr>
            <w:tcW w:w="3005" w:type="dxa"/>
            <w:shd w:val="clear" w:color="auto" w:fill="F7FBFF"/>
            <w:vAlign w:val="center"/>
          </w:tcPr>
          <w:p w14:paraId="7D26E1FE" w14:textId="77777777" w:rsidR="002E2D3A" w:rsidRDefault="00000000">
            <w:r>
              <w:rPr>
                <w:sz w:val="16"/>
              </w:rPr>
              <w:t>ACM Computing Surveys</w:t>
            </w:r>
          </w:p>
        </w:tc>
        <w:tc>
          <w:tcPr>
            <w:tcW w:w="907" w:type="dxa"/>
            <w:shd w:val="clear" w:color="auto" w:fill="F7FBFF"/>
            <w:vAlign w:val="center"/>
          </w:tcPr>
          <w:p w14:paraId="57B8D977" w14:textId="77777777" w:rsidR="002E2D3A" w:rsidRDefault="00000000">
            <w:pPr>
              <w:jc w:val="center"/>
            </w:pPr>
            <w:r>
              <w:rPr>
                <w:sz w:val="16"/>
              </w:rPr>
              <w:t>28.0</w:t>
            </w:r>
          </w:p>
        </w:tc>
        <w:tc>
          <w:tcPr>
            <w:tcW w:w="1814" w:type="dxa"/>
            <w:shd w:val="clear" w:color="auto" w:fill="F7FBFF"/>
            <w:vAlign w:val="center"/>
          </w:tcPr>
          <w:p w14:paraId="697B7E5F" w14:textId="77777777" w:rsidR="002E2D3A" w:rsidRDefault="00000000">
            <w:r>
              <w:rPr>
                <w:sz w:val="16"/>
              </w:rPr>
              <w:t>计算机科学综述</w:t>
            </w:r>
          </w:p>
        </w:tc>
        <w:tc>
          <w:tcPr>
            <w:tcW w:w="3572" w:type="dxa"/>
            <w:shd w:val="clear" w:color="auto" w:fill="F7FBFF"/>
            <w:vAlign w:val="center"/>
          </w:tcPr>
          <w:p w14:paraId="41AC020A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ACM 旗下计算机综述顶刊，适合人工智能、系统、软件、算法等方向的综述性成果。</w:t>
            </w:r>
          </w:p>
        </w:tc>
      </w:tr>
      <w:tr w:rsidR="002E2D3A" w14:paraId="58D5CB1C" w14:textId="77777777">
        <w:trPr>
          <w:jc w:val="center"/>
        </w:trPr>
        <w:tc>
          <w:tcPr>
            <w:tcW w:w="623" w:type="dxa"/>
            <w:vAlign w:val="center"/>
          </w:tcPr>
          <w:p w14:paraId="1CF3108B" w14:textId="77777777" w:rsidR="002E2D3A" w:rsidRDefault="00000000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3005" w:type="dxa"/>
            <w:vAlign w:val="center"/>
          </w:tcPr>
          <w:p w14:paraId="33CE6F5A" w14:textId="77777777" w:rsidR="002E2D3A" w:rsidRDefault="00000000">
            <w:r>
              <w:rPr>
                <w:sz w:val="16"/>
              </w:rPr>
              <w:t>Proceedings of the IEEE</w:t>
            </w:r>
          </w:p>
        </w:tc>
        <w:tc>
          <w:tcPr>
            <w:tcW w:w="907" w:type="dxa"/>
            <w:vAlign w:val="center"/>
          </w:tcPr>
          <w:p w14:paraId="119294C8" w14:textId="77777777" w:rsidR="002E2D3A" w:rsidRDefault="00000000">
            <w:pPr>
              <w:jc w:val="center"/>
            </w:pPr>
            <w:r>
              <w:rPr>
                <w:sz w:val="16"/>
              </w:rPr>
              <w:t>25.9</w:t>
            </w:r>
          </w:p>
        </w:tc>
        <w:tc>
          <w:tcPr>
            <w:tcW w:w="1814" w:type="dxa"/>
            <w:vAlign w:val="center"/>
          </w:tcPr>
          <w:p w14:paraId="3F628244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电气电子、通信、计算机综合</w:t>
            </w:r>
          </w:p>
        </w:tc>
        <w:tc>
          <w:tcPr>
            <w:tcW w:w="3572" w:type="dxa"/>
            <w:vAlign w:val="center"/>
          </w:tcPr>
          <w:p w14:paraId="412C3ABA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IEEE 旗舰级综合综述期刊，适合作为电子信息类综合高水平期刊代表。</w:t>
            </w:r>
          </w:p>
        </w:tc>
      </w:tr>
      <w:tr w:rsidR="002E2D3A" w14:paraId="7B3334E1" w14:textId="77777777">
        <w:trPr>
          <w:jc w:val="center"/>
        </w:trPr>
        <w:tc>
          <w:tcPr>
            <w:tcW w:w="623" w:type="dxa"/>
            <w:shd w:val="clear" w:color="auto" w:fill="F7FBFF"/>
            <w:vAlign w:val="center"/>
          </w:tcPr>
          <w:p w14:paraId="1CDDCD56" w14:textId="77777777" w:rsidR="002E2D3A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3005" w:type="dxa"/>
            <w:shd w:val="clear" w:color="auto" w:fill="F7FBFF"/>
            <w:vAlign w:val="center"/>
          </w:tcPr>
          <w:p w14:paraId="041B1FC2" w14:textId="77777777" w:rsidR="002E2D3A" w:rsidRDefault="00000000">
            <w:r>
              <w:rPr>
                <w:sz w:val="16"/>
              </w:rPr>
              <w:t>Nature Machine Intelligence</w:t>
            </w:r>
          </w:p>
        </w:tc>
        <w:tc>
          <w:tcPr>
            <w:tcW w:w="907" w:type="dxa"/>
            <w:shd w:val="clear" w:color="auto" w:fill="F7FBFF"/>
            <w:vAlign w:val="center"/>
          </w:tcPr>
          <w:p w14:paraId="1F9DFBD8" w14:textId="77777777" w:rsidR="002E2D3A" w:rsidRDefault="00000000">
            <w:pPr>
              <w:jc w:val="center"/>
            </w:pPr>
            <w:r>
              <w:rPr>
                <w:sz w:val="16"/>
              </w:rPr>
              <w:t>23.9</w:t>
            </w:r>
          </w:p>
        </w:tc>
        <w:tc>
          <w:tcPr>
            <w:tcW w:w="1814" w:type="dxa"/>
            <w:shd w:val="clear" w:color="auto" w:fill="F7FBFF"/>
            <w:vAlign w:val="center"/>
          </w:tcPr>
          <w:p w14:paraId="0AD340F3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人工智能、机器学习、智能系统</w:t>
            </w:r>
          </w:p>
        </w:tc>
        <w:tc>
          <w:tcPr>
            <w:tcW w:w="3572" w:type="dxa"/>
            <w:shd w:val="clear" w:color="auto" w:fill="F7FBFF"/>
            <w:vAlign w:val="center"/>
          </w:tcPr>
          <w:p w14:paraId="656F5595" w14:textId="77777777" w:rsidR="002E2D3A" w:rsidRDefault="00000000">
            <w:r>
              <w:rPr>
                <w:sz w:val="16"/>
              </w:rPr>
              <w:t>Nature 旗下 AI 方向高影响期刊，适合人工智能与智能系统方向。</w:t>
            </w:r>
          </w:p>
        </w:tc>
      </w:tr>
      <w:tr w:rsidR="002E2D3A" w14:paraId="61211CE5" w14:textId="77777777">
        <w:trPr>
          <w:jc w:val="center"/>
        </w:trPr>
        <w:tc>
          <w:tcPr>
            <w:tcW w:w="623" w:type="dxa"/>
            <w:vAlign w:val="center"/>
          </w:tcPr>
          <w:p w14:paraId="76809053" w14:textId="77777777" w:rsidR="002E2D3A" w:rsidRDefault="00000000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3005" w:type="dxa"/>
            <w:vAlign w:val="center"/>
          </w:tcPr>
          <w:p w14:paraId="3D2DB245" w14:textId="77777777" w:rsidR="002E2D3A" w:rsidRDefault="00000000">
            <w:r>
              <w:rPr>
                <w:sz w:val="16"/>
              </w:rPr>
              <w:t>IEEE/CAA Journal of Automatica Sinica</w:t>
            </w:r>
          </w:p>
        </w:tc>
        <w:tc>
          <w:tcPr>
            <w:tcW w:w="907" w:type="dxa"/>
            <w:vAlign w:val="center"/>
          </w:tcPr>
          <w:p w14:paraId="1D1CCD1F" w14:textId="77777777" w:rsidR="002E2D3A" w:rsidRDefault="00000000">
            <w:pPr>
              <w:jc w:val="center"/>
            </w:pPr>
            <w:r>
              <w:rPr>
                <w:sz w:val="16"/>
              </w:rPr>
              <w:t>19.2</w:t>
            </w:r>
          </w:p>
        </w:tc>
        <w:tc>
          <w:tcPr>
            <w:tcW w:w="1814" w:type="dxa"/>
            <w:vAlign w:val="center"/>
          </w:tcPr>
          <w:p w14:paraId="74F5DFBF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自动化、控制、智能系统</w:t>
            </w:r>
          </w:p>
        </w:tc>
        <w:tc>
          <w:tcPr>
            <w:tcW w:w="3572" w:type="dxa"/>
            <w:vAlign w:val="center"/>
          </w:tcPr>
          <w:p w14:paraId="17959927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自动化与控制系统方向高影响期刊，适合智能控制、自动化与 AI 交叉方向。</w:t>
            </w:r>
          </w:p>
        </w:tc>
      </w:tr>
      <w:tr w:rsidR="002E2D3A" w14:paraId="7A40C0A2" w14:textId="77777777">
        <w:trPr>
          <w:jc w:val="center"/>
        </w:trPr>
        <w:tc>
          <w:tcPr>
            <w:tcW w:w="623" w:type="dxa"/>
            <w:shd w:val="clear" w:color="auto" w:fill="F7FBFF"/>
            <w:vAlign w:val="center"/>
          </w:tcPr>
          <w:p w14:paraId="4E5E7214" w14:textId="77777777" w:rsidR="002E2D3A" w:rsidRDefault="00000000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3005" w:type="dxa"/>
            <w:shd w:val="clear" w:color="auto" w:fill="F7FBFF"/>
            <w:vAlign w:val="center"/>
          </w:tcPr>
          <w:p w14:paraId="184B50E5" w14:textId="77777777" w:rsidR="002E2D3A" w:rsidRDefault="00000000">
            <w:r>
              <w:rPr>
                <w:sz w:val="16"/>
              </w:rPr>
              <w:t>IEEE Transactions on Pattern Analysis and Machine Intelligence</w:t>
            </w:r>
          </w:p>
        </w:tc>
        <w:tc>
          <w:tcPr>
            <w:tcW w:w="907" w:type="dxa"/>
            <w:shd w:val="clear" w:color="auto" w:fill="F7FBFF"/>
            <w:vAlign w:val="center"/>
          </w:tcPr>
          <w:p w14:paraId="1C6B1CB0" w14:textId="77777777" w:rsidR="002E2D3A" w:rsidRDefault="00000000">
            <w:pPr>
              <w:jc w:val="center"/>
            </w:pPr>
            <w:r>
              <w:rPr>
                <w:sz w:val="16"/>
              </w:rPr>
              <w:t>18.6</w:t>
            </w:r>
          </w:p>
        </w:tc>
        <w:tc>
          <w:tcPr>
            <w:tcW w:w="1814" w:type="dxa"/>
            <w:shd w:val="clear" w:color="auto" w:fill="F7FBFF"/>
            <w:vAlign w:val="center"/>
          </w:tcPr>
          <w:p w14:paraId="543847F4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人工智能、模式识别、计算机视觉</w:t>
            </w:r>
          </w:p>
        </w:tc>
        <w:tc>
          <w:tcPr>
            <w:tcW w:w="3572" w:type="dxa"/>
            <w:shd w:val="clear" w:color="auto" w:fill="F7FBFF"/>
            <w:vAlign w:val="center"/>
          </w:tcPr>
          <w:p w14:paraId="0E2D4871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计算机视觉和模式识别领域公认顶刊，适合 AI/视觉/模式识别方向。</w:t>
            </w:r>
          </w:p>
        </w:tc>
      </w:tr>
      <w:tr w:rsidR="002E2D3A" w14:paraId="236619C8" w14:textId="77777777">
        <w:trPr>
          <w:jc w:val="center"/>
        </w:trPr>
        <w:tc>
          <w:tcPr>
            <w:tcW w:w="623" w:type="dxa"/>
            <w:vAlign w:val="center"/>
          </w:tcPr>
          <w:p w14:paraId="212AFFCA" w14:textId="77777777" w:rsidR="002E2D3A" w:rsidRDefault="00000000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3005" w:type="dxa"/>
            <w:vAlign w:val="center"/>
          </w:tcPr>
          <w:p w14:paraId="09A3A275" w14:textId="77777777" w:rsidR="002E2D3A" w:rsidRDefault="00000000">
            <w:r>
              <w:rPr>
                <w:sz w:val="16"/>
              </w:rPr>
              <w:t>IEEE Journal on Selected Areas in Communications</w:t>
            </w:r>
          </w:p>
        </w:tc>
        <w:tc>
          <w:tcPr>
            <w:tcW w:w="907" w:type="dxa"/>
            <w:vAlign w:val="center"/>
          </w:tcPr>
          <w:p w14:paraId="659C0D36" w14:textId="77777777" w:rsidR="002E2D3A" w:rsidRDefault="00000000">
            <w:pPr>
              <w:jc w:val="center"/>
            </w:pPr>
            <w:r>
              <w:rPr>
                <w:sz w:val="16"/>
              </w:rPr>
              <w:t>17.2</w:t>
            </w:r>
          </w:p>
        </w:tc>
        <w:tc>
          <w:tcPr>
            <w:tcW w:w="1814" w:type="dxa"/>
            <w:vAlign w:val="center"/>
          </w:tcPr>
          <w:p w14:paraId="2EB3BEFD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通信网络、无线通信、网络系统</w:t>
            </w:r>
          </w:p>
        </w:tc>
        <w:tc>
          <w:tcPr>
            <w:tcW w:w="3572" w:type="dxa"/>
            <w:vAlign w:val="center"/>
          </w:tcPr>
          <w:p w14:paraId="40B2B8BE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通信网络方向顶级期刊，适合通信、网络、无线系统方向。</w:t>
            </w:r>
          </w:p>
        </w:tc>
      </w:tr>
      <w:tr w:rsidR="002E2D3A" w14:paraId="65F6A49C" w14:textId="77777777">
        <w:trPr>
          <w:jc w:val="center"/>
        </w:trPr>
        <w:tc>
          <w:tcPr>
            <w:tcW w:w="623" w:type="dxa"/>
            <w:shd w:val="clear" w:color="auto" w:fill="F7FBFF"/>
            <w:vAlign w:val="center"/>
          </w:tcPr>
          <w:p w14:paraId="1EF7CF72" w14:textId="77777777" w:rsidR="002E2D3A" w:rsidRDefault="00000000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3005" w:type="dxa"/>
            <w:shd w:val="clear" w:color="auto" w:fill="F7FBFF"/>
            <w:vAlign w:val="center"/>
          </w:tcPr>
          <w:p w14:paraId="23DE0E53" w14:textId="77777777" w:rsidR="002E2D3A" w:rsidRDefault="00000000">
            <w:r>
              <w:rPr>
                <w:sz w:val="16"/>
              </w:rPr>
              <w:t>Information Fusion</w:t>
            </w:r>
          </w:p>
        </w:tc>
        <w:tc>
          <w:tcPr>
            <w:tcW w:w="907" w:type="dxa"/>
            <w:shd w:val="clear" w:color="auto" w:fill="F7FBFF"/>
            <w:vAlign w:val="center"/>
          </w:tcPr>
          <w:p w14:paraId="18D84BB0" w14:textId="77777777" w:rsidR="002E2D3A" w:rsidRDefault="00000000">
            <w:pPr>
              <w:jc w:val="center"/>
            </w:pPr>
            <w:r>
              <w:rPr>
                <w:sz w:val="16"/>
              </w:rPr>
              <w:t>15.5</w:t>
            </w:r>
          </w:p>
        </w:tc>
        <w:tc>
          <w:tcPr>
            <w:tcW w:w="1814" w:type="dxa"/>
            <w:shd w:val="clear" w:color="auto" w:fill="F7FBFF"/>
            <w:vAlign w:val="center"/>
          </w:tcPr>
          <w:p w14:paraId="3CDC67FE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信息融合、多模态、智能感知</w:t>
            </w:r>
          </w:p>
        </w:tc>
        <w:tc>
          <w:tcPr>
            <w:tcW w:w="3572" w:type="dxa"/>
            <w:shd w:val="clear" w:color="auto" w:fill="F7FBFF"/>
            <w:vAlign w:val="center"/>
          </w:tcPr>
          <w:p w14:paraId="6E8E58EE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适合多模态融合、数据融合、智能感知、图学习等交叉智能方向。</w:t>
            </w:r>
          </w:p>
        </w:tc>
      </w:tr>
      <w:tr w:rsidR="002E2D3A" w14:paraId="47E6D1C5" w14:textId="77777777">
        <w:trPr>
          <w:jc w:val="center"/>
        </w:trPr>
        <w:tc>
          <w:tcPr>
            <w:tcW w:w="623" w:type="dxa"/>
            <w:vAlign w:val="center"/>
          </w:tcPr>
          <w:p w14:paraId="4215E224" w14:textId="77777777" w:rsidR="002E2D3A" w:rsidRDefault="00000000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3005" w:type="dxa"/>
            <w:vAlign w:val="center"/>
          </w:tcPr>
          <w:p w14:paraId="5C916760" w14:textId="77777777" w:rsidR="002E2D3A" w:rsidRDefault="00000000">
            <w:r>
              <w:rPr>
                <w:sz w:val="16"/>
              </w:rPr>
              <w:t>npj Flexible Electronics</w:t>
            </w:r>
          </w:p>
        </w:tc>
        <w:tc>
          <w:tcPr>
            <w:tcW w:w="907" w:type="dxa"/>
            <w:vAlign w:val="center"/>
          </w:tcPr>
          <w:p w14:paraId="5137C815" w14:textId="77777777" w:rsidR="002E2D3A" w:rsidRDefault="00000000">
            <w:pPr>
              <w:jc w:val="center"/>
            </w:pPr>
            <w:r>
              <w:rPr>
                <w:sz w:val="16"/>
              </w:rPr>
              <w:t>15.5</w:t>
            </w:r>
          </w:p>
        </w:tc>
        <w:tc>
          <w:tcPr>
            <w:tcW w:w="1814" w:type="dxa"/>
            <w:vAlign w:val="center"/>
          </w:tcPr>
          <w:p w14:paraId="6403B148" w14:textId="77777777" w:rsidR="002E2D3A" w:rsidRDefault="00000000">
            <w:pPr>
              <w:rPr>
                <w:lang w:eastAsia="zh-CN"/>
              </w:rPr>
            </w:pPr>
            <w:r>
              <w:rPr>
                <w:sz w:val="16"/>
                <w:lang w:eastAsia="zh-CN"/>
              </w:rPr>
              <w:t>柔性电子、电子材料、器件</w:t>
            </w:r>
          </w:p>
        </w:tc>
        <w:tc>
          <w:tcPr>
            <w:tcW w:w="3572" w:type="dxa"/>
            <w:vAlign w:val="center"/>
          </w:tcPr>
          <w:p w14:paraId="7CB50752" w14:textId="77777777" w:rsidR="002E2D3A" w:rsidRDefault="00000000">
            <w:r>
              <w:rPr>
                <w:sz w:val="16"/>
              </w:rPr>
              <w:t>Nature 旗下电子与材料交叉期刊，适合作为电子器件与柔性电子方向代表。</w:t>
            </w:r>
          </w:p>
        </w:tc>
      </w:tr>
    </w:tbl>
    <w:p w14:paraId="28844E8F" w14:textId="4A487FEE" w:rsidR="002E2D3A" w:rsidRDefault="00317E1B">
      <w:pPr>
        <w:pStyle w:val="1"/>
        <w:spacing w:before="160" w:after="80"/>
        <w:rPr>
          <w:lang w:eastAsia="zh-CN"/>
        </w:rPr>
      </w:pPr>
      <w:r>
        <w:rPr>
          <w:rFonts w:ascii="宋体" w:eastAsia="宋体" w:hAnsi="宋体" w:cs="宋体" w:hint="eastAsia"/>
          <w:color w:val="1F4E79"/>
          <w:sz w:val="30"/>
          <w:lang w:eastAsia="zh-CN"/>
        </w:rPr>
        <w:t>三</w:t>
      </w:r>
      <w:r w:rsidR="00000000">
        <w:rPr>
          <w:rFonts w:ascii="Noto Sans CJK SC" w:eastAsia="Noto Sans CJK SC" w:hAnsi="Noto Sans CJK SC"/>
          <w:color w:val="1F4E79"/>
          <w:sz w:val="30"/>
          <w:lang w:eastAsia="zh-CN"/>
        </w:rPr>
        <w:t>、备选期刊库（用于不同方向微调）</w:t>
      </w:r>
    </w:p>
    <w:p w14:paraId="76C67F11" w14:textId="77777777" w:rsidR="002E2D3A" w:rsidRDefault="00000000">
      <w:pPr>
        <w:spacing w:after="80" w:line="283" w:lineRule="auto"/>
        <w:rPr>
          <w:lang w:eastAsia="zh-CN"/>
        </w:rPr>
      </w:pPr>
      <w:r>
        <w:rPr>
          <w:lang w:eastAsia="zh-CN"/>
        </w:rPr>
        <w:t>如委员会认为 TOP10 中电子材料或综述类期刊比例较高，可根据研究生培养方向从下列期刊中替换或补充：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ook w:val="04A0" w:firstRow="1" w:lastRow="0" w:firstColumn="1" w:lastColumn="0" w:noHBand="0" w:noVBand="1"/>
      </w:tblPr>
      <w:tblGrid>
        <w:gridCol w:w="3394"/>
        <w:gridCol w:w="3396"/>
        <w:gridCol w:w="3394"/>
      </w:tblGrid>
      <w:tr w:rsidR="002E2D3A" w14:paraId="729E7952" w14:textId="77777777">
        <w:trPr>
          <w:tblHeader/>
          <w:jc w:val="center"/>
        </w:trPr>
        <w:tc>
          <w:tcPr>
            <w:tcW w:w="3400" w:type="dxa"/>
            <w:shd w:val="clear" w:color="auto" w:fill="5B9BD5"/>
            <w:vAlign w:val="center"/>
          </w:tcPr>
          <w:p w14:paraId="38059514" w14:textId="77777777" w:rsidR="002E2D3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方向</w:t>
            </w:r>
          </w:p>
        </w:tc>
        <w:tc>
          <w:tcPr>
            <w:tcW w:w="3400" w:type="dxa"/>
            <w:shd w:val="clear" w:color="auto" w:fill="5B9BD5"/>
            <w:vAlign w:val="center"/>
          </w:tcPr>
          <w:p w14:paraId="4934FB4E" w14:textId="77777777" w:rsidR="002E2D3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可选期刊</w:t>
            </w:r>
          </w:p>
        </w:tc>
        <w:tc>
          <w:tcPr>
            <w:tcW w:w="3400" w:type="dxa"/>
            <w:shd w:val="clear" w:color="auto" w:fill="5B9BD5"/>
            <w:vAlign w:val="center"/>
          </w:tcPr>
          <w:p w14:paraId="1099AD6A" w14:textId="77777777" w:rsidR="002E2D3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适用场景</w:t>
            </w:r>
          </w:p>
        </w:tc>
      </w:tr>
      <w:tr w:rsidR="002E2D3A" w14:paraId="02886782" w14:textId="77777777">
        <w:trPr>
          <w:jc w:val="center"/>
        </w:trPr>
        <w:tc>
          <w:tcPr>
            <w:tcW w:w="3400" w:type="dxa"/>
            <w:shd w:val="clear" w:color="auto" w:fill="F7FBFF"/>
            <w:vAlign w:val="center"/>
          </w:tcPr>
          <w:p w14:paraId="44A1395F" w14:textId="77777777" w:rsidR="002E2D3A" w:rsidRDefault="00000000">
            <w:r>
              <w:rPr>
                <w:sz w:val="17"/>
              </w:rPr>
              <w:t>深度学习/智能系统</w:t>
            </w:r>
          </w:p>
        </w:tc>
        <w:tc>
          <w:tcPr>
            <w:tcW w:w="3400" w:type="dxa"/>
            <w:shd w:val="clear" w:color="auto" w:fill="F7FBFF"/>
            <w:vAlign w:val="center"/>
          </w:tcPr>
          <w:p w14:paraId="7822D1A4" w14:textId="77777777" w:rsidR="002E2D3A" w:rsidRDefault="00000000">
            <w:r>
              <w:rPr>
                <w:sz w:val="17"/>
              </w:rPr>
              <w:t>IEEE Transactions on Neural Networks and Learning Systems；Neural Networks</w:t>
            </w:r>
          </w:p>
        </w:tc>
        <w:tc>
          <w:tcPr>
            <w:tcW w:w="3400" w:type="dxa"/>
            <w:shd w:val="clear" w:color="auto" w:fill="F7FBFF"/>
            <w:vAlign w:val="center"/>
          </w:tcPr>
          <w:p w14:paraId="6AD18280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适合神经网络、深度学习、智能学习系统方向。</w:t>
            </w:r>
          </w:p>
        </w:tc>
      </w:tr>
      <w:tr w:rsidR="002E2D3A" w14:paraId="01038840" w14:textId="77777777">
        <w:trPr>
          <w:jc w:val="center"/>
        </w:trPr>
        <w:tc>
          <w:tcPr>
            <w:tcW w:w="3400" w:type="dxa"/>
            <w:vAlign w:val="center"/>
          </w:tcPr>
          <w:p w14:paraId="45F79535" w14:textId="77777777" w:rsidR="002E2D3A" w:rsidRDefault="00000000">
            <w:r>
              <w:rPr>
                <w:sz w:val="17"/>
              </w:rPr>
              <w:t>计算机视觉</w:t>
            </w:r>
          </w:p>
        </w:tc>
        <w:tc>
          <w:tcPr>
            <w:tcW w:w="3400" w:type="dxa"/>
            <w:vAlign w:val="center"/>
          </w:tcPr>
          <w:p w14:paraId="4623E7D3" w14:textId="77777777" w:rsidR="002E2D3A" w:rsidRDefault="00000000">
            <w:r>
              <w:rPr>
                <w:sz w:val="17"/>
              </w:rPr>
              <w:t>International Journal of Computer Vision；IEEE Transactions on Image Processing</w:t>
            </w:r>
          </w:p>
        </w:tc>
        <w:tc>
          <w:tcPr>
            <w:tcW w:w="3400" w:type="dxa"/>
            <w:vAlign w:val="center"/>
          </w:tcPr>
          <w:p w14:paraId="6A8164C3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适合视觉、图像处理、模式识别方向。</w:t>
            </w:r>
          </w:p>
        </w:tc>
      </w:tr>
      <w:tr w:rsidR="002E2D3A" w14:paraId="6A619604" w14:textId="77777777">
        <w:trPr>
          <w:jc w:val="center"/>
        </w:trPr>
        <w:tc>
          <w:tcPr>
            <w:tcW w:w="3400" w:type="dxa"/>
            <w:shd w:val="clear" w:color="auto" w:fill="F7FBFF"/>
            <w:vAlign w:val="center"/>
          </w:tcPr>
          <w:p w14:paraId="7F8EB8F1" w14:textId="77777777" w:rsidR="002E2D3A" w:rsidRDefault="00000000">
            <w:r>
              <w:rPr>
                <w:sz w:val="17"/>
              </w:rPr>
              <w:t>数据工程/数据库</w:t>
            </w:r>
          </w:p>
        </w:tc>
        <w:tc>
          <w:tcPr>
            <w:tcW w:w="3400" w:type="dxa"/>
            <w:shd w:val="clear" w:color="auto" w:fill="F7FBFF"/>
            <w:vAlign w:val="center"/>
          </w:tcPr>
          <w:p w14:paraId="2159F083" w14:textId="77777777" w:rsidR="002E2D3A" w:rsidRDefault="00000000">
            <w:r>
              <w:rPr>
                <w:sz w:val="17"/>
              </w:rPr>
              <w:t>IEEE Transactions on Knowledge and Data Engineering；Proceedings of the VLDB Endowment</w:t>
            </w:r>
          </w:p>
        </w:tc>
        <w:tc>
          <w:tcPr>
            <w:tcW w:w="3400" w:type="dxa"/>
            <w:shd w:val="clear" w:color="auto" w:fill="F7FBFF"/>
            <w:vAlign w:val="center"/>
          </w:tcPr>
          <w:p w14:paraId="126C9374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适合数据工程、知识发现、数据库系统方向。</w:t>
            </w:r>
          </w:p>
        </w:tc>
      </w:tr>
      <w:tr w:rsidR="002E2D3A" w14:paraId="2CCBCFDB" w14:textId="77777777">
        <w:trPr>
          <w:jc w:val="center"/>
        </w:trPr>
        <w:tc>
          <w:tcPr>
            <w:tcW w:w="3400" w:type="dxa"/>
            <w:vAlign w:val="center"/>
          </w:tcPr>
          <w:p w14:paraId="3CC4FF3B" w14:textId="77777777" w:rsidR="002E2D3A" w:rsidRDefault="00000000">
            <w:r>
              <w:rPr>
                <w:sz w:val="17"/>
              </w:rPr>
              <w:t>软件工程</w:t>
            </w:r>
          </w:p>
        </w:tc>
        <w:tc>
          <w:tcPr>
            <w:tcW w:w="3400" w:type="dxa"/>
            <w:vAlign w:val="center"/>
          </w:tcPr>
          <w:p w14:paraId="6C8043DC" w14:textId="77777777" w:rsidR="002E2D3A" w:rsidRDefault="00000000">
            <w:r>
              <w:rPr>
                <w:sz w:val="17"/>
              </w:rPr>
              <w:t>IEEE Transactions on Software Engineering；ACM Transactions on Software Engineering and Methodology</w:t>
            </w:r>
          </w:p>
        </w:tc>
        <w:tc>
          <w:tcPr>
            <w:tcW w:w="3400" w:type="dxa"/>
            <w:vAlign w:val="center"/>
          </w:tcPr>
          <w:p w14:paraId="0FB84F6D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适合软件工程、软件质量、测试与维护方向。</w:t>
            </w:r>
          </w:p>
        </w:tc>
      </w:tr>
      <w:tr w:rsidR="002E2D3A" w14:paraId="551298A0" w14:textId="77777777">
        <w:trPr>
          <w:jc w:val="center"/>
        </w:trPr>
        <w:tc>
          <w:tcPr>
            <w:tcW w:w="3400" w:type="dxa"/>
            <w:shd w:val="clear" w:color="auto" w:fill="F7FBFF"/>
            <w:vAlign w:val="center"/>
          </w:tcPr>
          <w:p w14:paraId="21F1D46F" w14:textId="77777777" w:rsidR="002E2D3A" w:rsidRDefault="00000000">
            <w:r>
              <w:rPr>
                <w:sz w:val="17"/>
              </w:rPr>
              <w:t>网络安全</w:t>
            </w:r>
          </w:p>
        </w:tc>
        <w:tc>
          <w:tcPr>
            <w:tcW w:w="3400" w:type="dxa"/>
            <w:shd w:val="clear" w:color="auto" w:fill="F7FBFF"/>
            <w:vAlign w:val="center"/>
          </w:tcPr>
          <w:p w14:paraId="556F71ED" w14:textId="77777777" w:rsidR="002E2D3A" w:rsidRDefault="00000000">
            <w:r>
              <w:rPr>
                <w:sz w:val="17"/>
              </w:rPr>
              <w:t>IEEE Transactions on Information Forensics and Security</w:t>
            </w:r>
          </w:p>
        </w:tc>
        <w:tc>
          <w:tcPr>
            <w:tcW w:w="3400" w:type="dxa"/>
            <w:shd w:val="clear" w:color="auto" w:fill="F7FBFF"/>
            <w:vAlign w:val="center"/>
          </w:tcPr>
          <w:p w14:paraId="2F727581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适合网络空间安全、信息取证、隐私保护方向。</w:t>
            </w:r>
          </w:p>
        </w:tc>
      </w:tr>
      <w:tr w:rsidR="002E2D3A" w14:paraId="50440F00" w14:textId="77777777">
        <w:trPr>
          <w:jc w:val="center"/>
        </w:trPr>
        <w:tc>
          <w:tcPr>
            <w:tcW w:w="3400" w:type="dxa"/>
            <w:vAlign w:val="center"/>
          </w:tcPr>
          <w:p w14:paraId="457605E5" w14:textId="77777777" w:rsidR="002E2D3A" w:rsidRDefault="00000000">
            <w:r>
              <w:rPr>
                <w:sz w:val="17"/>
              </w:rPr>
              <w:t>机器人/自动化</w:t>
            </w:r>
          </w:p>
        </w:tc>
        <w:tc>
          <w:tcPr>
            <w:tcW w:w="3400" w:type="dxa"/>
            <w:vAlign w:val="center"/>
          </w:tcPr>
          <w:p w14:paraId="5BCCFEE0" w14:textId="77777777" w:rsidR="002E2D3A" w:rsidRDefault="00000000">
            <w:r>
              <w:rPr>
                <w:sz w:val="17"/>
              </w:rPr>
              <w:t>IEEE Transactions on Robotics；IEEE Transactions on Automation Science and Engineering</w:t>
            </w:r>
          </w:p>
        </w:tc>
        <w:tc>
          <w:tcPr>
            <w:tcW w:w="3400" w:type="dxa"/>
            <w:vAlign w:val="center"/>
          </w:tcPr>
          <w:p w14:paraId="625ACBA9" w14:textId="77777777" w:rsidR="002E2D3A" w:rsidRDefault="00000000">
            <w:pPr>
              <w:rPr>
                <w:lang w:eastAsia="zh-CN"/>
              </w:rPr>
            </w:pPr>
            <w:r>
              <w:rPr>
                <w:sz w:val="17"/>
                <w:lang w:eastAsia="zh-CN"/>
              </w:rPr>
              <w:t>适合机器人、智能制造、自动化系统方向。</w:t>
            </w:r>
          </w:p>
        </w:tc>
      </w:tr>
    </w:tbl>
    <w:p w14:paraId="44DAAAE5" w14:textId="04BF8CA4" w:rsidR="002E2D3A" w:rsidRDefault="00317E1B">
      <w:pPr>
        <w:pStyle w:val="1"/>
        <w:spacing w:before="160" w:after="80"/>
      </w:pPr>
      <w:r>
        <w:rPr>
          <w:rFonts w:ascii="宋体" w:eastAsia="宋体" w:hAnsi="宋体" w:cs="宋体" w:hint="eastAsia"/>
          <w:color w:val="1F4E79"/>
          <w:sz w:val="30"/>
          <w:lang w:eastAsia="zh-CN"/>
        </w:rPr>
        <w:t>四</w:t>
      </w:r>
      <w:r w:rsidR="00000000">
        <w:rPr>
          <w:rFonts w:ascii="Noto Sans CJK SC" w:eastAsia="Noto Sans CJK SC" w:hAnsi="Noto Sans CJK SC"/>
          <w:color w:val="1F4E79"/>
          <w:sz w:val="30"/>
        </w:rPr>
        <w:t>、参考来源</w:t>
      </w:r>
    </w:p>
    <w:p w14:paraId="13DAFD38" w14:textId="77777777" w:rsidR="002E2D3A" w:rsidRDefault="00000000">
      <w:pPr>
        <w:spacing w:after="20"/>
      </w:pPr>
      <w:r>
        <w:rPr>
          <w:sz w:val="17"/>
        </w:rPr>
        <w:t xml:space="preserve">[1] </w:t>
      </w:r>
      <w:hyperlink r:id="rId8">
        <w:r w:rsidR="002E2D3A">
          <w:rPr>
            <w:color w:val="0563C1"/>
            <w:u w:val="single"/>
          </w:rPr>
          <w:t>QS World University Rankings 2026</w:t>
        </w:r>
      </w:hyperlink>
    </w:p>
    <w:p w14:paraId="533101A5" w14:textId="77777777" w:rsidR="002E2D3A" w:rsidRDefault="00000000">
      <w:pPr>
        <w:spacing w:after="20"/>
      </w:pPr>
      <w:r>
        <w:rPr>
          <w:sz w:val="17"/>
        </w:rPr>
        <w:t xml:space="preserve">[2] </w:t>
      </w:r>
      <w:hyperlink r:id="rId9">
        <w:r w:rsidR="002E2D3A">
          <w:rPr>
            <w:color w:val="0563C1"/>
            <w:u w:val="single"/>
          </w:rPr>
          <w:t>Times Higher Education World University Rankings 2026</w:t>
        </w:r>
      </w:hyperlink>
    </w:p>
    <w:p w14:paraId="1A18E88A" w14:textId="77777777" w:rsidR="002E2D3A" w:rsidRDefault="00000000">
      <w:pPr>
        <w:spacing w:after="20"/>
      </w:pPr>
      <w:r>
        <w:rPr>
          <w:sz w:val="17"/>
        </w:rPr>
        <w:lastRenderedPageBreak/>
        <w:t xml:space="preserve">[3] </w:t>
      </w:r>
      <w:hyperlink r:id="rId10">
        <w:r w:rsidR="002E2D3A">
          <w:rPr>
            <w:color w:val="0563C1"/>
            <w:u w:val="single"/>
          </w:rPr>
          <w:t>U.S. News Releases 2025-2026 Best Global Universities Rankings</w:t>
        </w:r>
      </w:hyperlink>
    </w:p>
    <w:p w14:paraId="489DC88E" w14:textId="77777777" w:rsidR="002E2D3A" w:rsidRDefault="00000000">
      <w:pPr>
        <w:spacing w:after="20"/>
      </w:pPr>
      <w:r>
        <w:rPr>
          <w:sz w:val="17"/>
        </w:rPr>
        <w:t xml:space="preserve">[4] </w:t>
      </w:r>
      <w:hyperlink r:id="rId11">
        <w:r w:rsidR="002E2D3A">
          <w:rPr>
            <w:color w:val="0563C1"/>
            <w:u w:val="single"/>
          </w:rPr>
          <w:t>Clarivate Journal Citation Reports 2025 release / JCR product page</w:t>
        </w:r>
      </w:hyperlink>
    </w:p>
    <w:p w14:paraId="6823C1EE" w14:textId="77777777" w:rsidR="002E2D3A" w:rsidRDefault="00000000">
      <w:pPr>
        <w:spacing w:after="20"/>
      </w:pPr>
      <w:r>
        <w:rPr>
          <w:sz w:val="17"/>
        </w:rPr>
        <w:t xml:space="preserve">[5] </w:t>
      </w:r>
      <w:hyperlink r:id="rId12">
        <w:r w:rsidR="002E2D3A">
          <w:rPr>
            <w:color w:val="0563C1"/>
            <w:u w:val="single"/>
          </w:rPr>
          <w:t>Clarivate news release: 2025 Journal Citation Reports</w:t>
        </w:r>
      </w:hyperlink>
    </w:p>
    <w:p w14:paraId="3ED3B934" w14:textId="77777777" w:rsidR="002E2D3A" w:rsidRDefault="00000000">
      <w:pPr>
        <w:spacing w:after="20"/>
      </w:pPr>
      <w:r>
        <w:rPr>
          <w:sz w:val="17"/>
        </w:rPr>
        <w:t xml:space="preserve">[6] </w:t>
      </w:r>
      <w:hyperlink r:id="rId13">
        <w:r w:rsidR="002E2D3A">
          <w:rPr>
            <w:color w:val="0563C1"/>
            <w:u w:val="single"/>
          </w:rPr>
          <w:t>Nature Electronics Journal Metrics</w:t>
        </w:r>
      </w:hyperlink>
    </w:p>
    <w:p w14:paraId="5B74CF63" w14:textId="77777777" w:rsidR="002E2D3A" w:rsidRDefault="00000000">
      <w:pPr>
        <w:spacing w:after="20"/>
      </w:pPr>
      <w:r>
        <w:rPr>
          <w:sz w:val="17"/>
        </w:rPr>
        <w:t xml:space="preserve">[7] </w:t>
      </w:r>
      <w:hyperlink r:id="rId14">
        <w:r w:rsidR="002E2D3A">
          <w:rPr>
            <w:color w:val="0563C1"/>
            <w:u w:val="single"/>
          </w:rPr>
          <w:t>Nature Machine Intelligence Journal Metrics</w:t>
        </w:r>
      </w:hyperlink>
    </w:p>
    <w:p w14:paraId="2B44FE74" w14:textId="77777777" w:rsidR="002E2D3A" w:rsidRDefault="00000000">
      <w:pPr>
        <w:spacing w:after="20"/>
      </w:pPr>
      <w:r>
        <w:rPr>
          <w:sz w:val="17"/>
        </w:rPr>
        <w:t xml:space="preserve">[8] </w:t>
      </w:r>
      <w:hyperlink r:id="rId15">
        <w:r w:rsidR="002E2D3A">
          <w:rPr>
            <w:color w:val="0563C1"/>
            <w:u w:val="single"/>
          </w:rPr>
          <w:t>npj Flexible Electronics Journal Metrics</w:t>
        </w:r>
      </w:hyperlink>
    </w:p>
    <w:p w14:paraId="10E27ACA" w14:textId="77777777" w:rsidR="002E2D3A" w:rsidRDefault="00000000">
      <w:pPr>
        <w:spacing w:after="20"/>
      </w:pPr>
      <w:r>
        <w:rPr>
          <w:sz w:val="17"/>
        </w:rPr>
        <w:t xml:space="preserve">[9] </w:t>
      </w:r>
      <w:hyperlink r:id="rId16">
        <w:r w:rsidR="002E2D3A">
          <w:rPr>
            <w:color w:val="0563C1"/>
            <w:u w:val="single"/>
          </w:rPr>
          <w:t>ACM Computing Surveys journal page / indexing metrics</w:t>
        </w:r>
      </w:hyperlink>
    </w:p>
    <w:p w14:paraId="5B8D5845" w14:textId="77777777" w:rsidR="002E2D3A" w:rsidRDefault="00000000">
      <w:pPr>
        <w:spacing w:after="20"/>
      </w:pPr>
      <w:r>
        <w:rPr>
          <w:sz w:val="17"/>
        </w:rPr>
        <w:t xml:space="preserve">[10] </w:t>
      </w:r>
      <w:hyperlink r:id="rId17">
        <w:r w:rsidR="002E2D3A">
          <w:rPr>
            <w:color w:val="0563C1"/>
            <w:u w:val="single"/>
          </w:rPr>
          <w:t>Information Fusion journal page</w:t>
        </w:r>
      </w:hyperlink>
    </w:p>
    <w:p w14:paraId="58803471" w14:textId="77777777" w:rsidR="002E2D3A" w:rsidRDefault="00000000">
      <w:pPr>
        <w:spacing w:before="120" w:after="0"/>
      </w:pPr>
      <w:r>
        <w:rPr>
          <w:color w:val="7F7F7F"/>
          <w:sz w:val="17"/>
        </w:rPr>
        <w:t>注：本材料用于培养方案讨论参考。具体期刊目录应以学校研究生院、学院学位评定分委员会及科研管理部门最终认定为准。</w:t>
      </w:r>
    </w:p>
    <w:sectPr w:rsidR="002E2D3A" w:rsidSect="00034616">
      <w:headerReference w:type="default" r:id="rId18"/>
      <w:footerReference w:type="default" r:id="rId1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15388" w14:textId="77777777" w:rsidR="008142FB" w:rsidRDefault="008142FB">
      <w:pPr>
        <w:spacing w:after="0" w:line="240" w:lineRule="auto"/>
      </w:pPr>
      <w:r>
        <w:separator/>
      </w:r>
    </w:p>
  </w:endnote>
  <w:endnote w:type="continuationSeparator" w:id="0">
    <w:p w14:paraId="2EB38DD1" w14:textId="77777777" w:rsidR="008142FB" w:rsidRDefault="00814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4F842" w14:textId="77777777" w:rsidR="002E2D3A" w:rsidRDefault="00000000">
    <w:pPr>
      <w:pStyle w:val="a7"/>
      <w:jc w:val="center"/>
    </w:pPr>
    <w:r>
      <w:rPr>
        <w:color w:val="595959"/>
        <w:sz w:val="17"/>
      </w:rPr>
      <w:t>内部讨论参考材料｜建议以最新版 JCR / QS / THE / U.S. News 数据动态更新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BC1AF" w14:textId="77777777" w:rsidR="008142FB" w:rsidRDefault="008142FB">
      <w:pPr>
        <w:spacing w:after="0" w:line="240" w:lineRule="auto"/>
      </w:pPr>
      <w:r>
        <w:separator/>
      </w:r>
    </w:p>
  </w:footnote>
  <w:footnote w:type="continuationSeparator" w:id="0">
    <w:p w14:paraId="35286AA6" w14:textId="77777777" w:rsidR="008142FB" w:rsidRDefault="00814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B49A1" w14:textId="77777777" w:rsidR="002E2D3A" w:rsidRDefault="00000000">
    <w:pPr>
      <w:pStyle w:val="a5"/>
      <w:jc w:val="center"/>
      <w:rPr>
        <w:lang w:eastAsia="zh-CN"/>
      </w:rPr>
    </w:pPr>
    <w:r>
      <w:rPr>
        <w:color w:val="595959"/>
        <w:sz w:val="17"/>
        <w:lang w:eastAsia="zh-CN"/>
      </w:rPr>
      <w:t>计算机与电子信息类国际高水平期刊 TOP10 及 2026 培养方案认定建议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9961477">
    <w:abstractNumId w:val="8"/>
  </w:num>
  <w:num w:numId="2" w16cid:durableId="1714621158">
    <w:abstractNumId w:val="6"/>
  </w:num>
  <w:num w:numId="3" w16cid:durableId="460458243">
    <w:abstractNumId w:val="5"/>
  </w:num>
  <w:num w:numId="4" w16cid:durableId="783891503">
    <w:abstractNumId w:val="4"/>
  </w:num>
  <w:num w:numId="5" w16cid:durableId="674959486">
    <w:abstractNumId w:val="7"/>
  </w:num>
  <w:num w:numId="6" w16cid:durableId="690691317">
    <w:abstractNumId w:val="3"/>
  </w:num>
  <w:num w:numId="7" w16cid:durableId="1522472795">
    <w:abstractNumId w:val="2"/>
  </w:num>
  <w:num w:numId="8" w16cid:durableId="1520005151">
    <w:abstractNumId w:val="1"/>
  </w:num>
  <w:num w:numId="9" w16cid:durableId="84582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2D3A"/>
    <w:rsid w:val="00317E1B"/>
    <w:rsid w:val="00326F90"/>
    <w:rsid w:val="008142FB"/>
    <w:rsid w:val="008C2FAD"/>
    <w:rsid w:val="00997AFE"/>
    <w:rsid w:val="00AA1D8D"/>
    <w:rsid w:val="00AE6914"/>
    <w:rsid w:val="00B47730"/>
    <w:rsid w:val="00C4452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92DC3B"/>
  <w14:defaultImageDpi w14:val="300"/>
  <w15:docId w15:val="{10F285FC-2CBC-4C2A-B46F-24C1E46EB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SC" w:eastAsia="Noto Sans CJK SC" w:hAnsi="Noto Sans CJK S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universities.com/world-university-rankings" TargetMode="External"/><Relationship Id="rId13" Type="http://schemas.openxmlformats.org/officeDocument/2006/relationships/hyperlink" Target="https://www.nature.com/natelectron/journal-impact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clarivate.com/news/clarivate-unveils-the-2025-journal-citation-reports/" TargetMode="External"/><Relationship Id="rId17" Type="http://schemas.openxmlformats.org/officeDocument/2006/relationships/hyperlink" Target="https://www.sciencedirect.com/journal/information-fusi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l.acm.org/journal/csu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arivate.com/academia-government/scientific-and-academic-research/research-funding-analytics/journal-citation-report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ature.com/npjflexelectron/journal-impact" TargetMode="External"/><Relationship Id="rId10" Type="http://schemas.openxmlformats.org/officeDocument/2006/relationships/hyperlink" Target="https://www.prnewswire.com/news-releases/us-news-releases-2025-2026-best-global-universities-rankings-302482820.htm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timeshighereducation.com/world-university-rankings/latest/world-ranking" TargetMode="External"/><Relationship Id="rId14" Type="http://schemas.openxmlformats.org/officeDocument/2006/relationships/hyperlink" Target="https://www.nature.com/natmachintell/journal-imp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1492</Words>
  <Characters>2820</Characters>
  <Application>Microsoft Office Word</Application>
  <DocSecurity>0</DocSecurity>
  <Lines>141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计算机与电子信息类国际高水平期刊TOP10及2026培养方案认定建议</dc:title>
  <dc:subject>研究生培养方案修订参考材料</dc:subject>
  <dc:creator>OpenAI</dc:creator>
  <cp:keywords>JCR, QS, THE, U.S. News, 计算机, 电子信息, TOP10期刊</cp:keywords>
  <dc:description>Generated for user request.</dc:description>
  <cp:lastModifiedBy>子祺 沈</cp:lastModifiedBy>
  <cp:revision>2</cp:revision>
  <dcterms:created xsi:type="dcterms:W3CDTF">2026-06-01T14:42:00Z</dcterms:created>
  <dcterms:modified xsi:type="dcterms:W3CDTF">2026-06-01T14:42:00Z</dcterms:modified>
  <cp:category/>
</cp:coreProperties>
</file>