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73509">
      <w:pPr>
        <w:pStyle w:val="3"/>
        <w:spacing w:before="219" w:line="219" w:lineRule="auto"/>
        <w:jc w:val="center"/>
        <w:rPr>
          <w:rFonts w:hint="eastAsia"/>
          <w:color w:val="auto"/>
          <w:sz w:val="34"/>
          <w:szCs w:val="34"/>
          <w:highlight w:val="none"/>
          <w:lang w:eastAsia="zh-CN"/>
        </w:rPr>
      </w:pPr>
      <w:r>
        <w:rPr>
          <w:b/>
          <w:bCs/>
          <w:color w:val="auto"/>
          <w:spacing w:val="-5"/>
          <w:sz w:val="34"/>
          <w:szCs w:val="34"/>
          <w:highlight w:val="none"/>
          <w:lang w:eastAsia="zh-CN"/>
        </w:rPr>
        <w:t>上海第二</w:t>
      </w:r>
      <w:r>
        <w:rPr>
          <w:b/>
          <w:bCs/>
          <w:color w:val="auto"/>
          <w:spacing w:val="-7"/>
          <w:sz w:val="34"/>
          <w:szCs w:val="34"/>
          <w:highlight w:val="none"/>
          <w:lang w:eastAsia="zh-CN"/>
        </w:rPr>
        <w:t>工业大学</w:t>
      </w:r>
    </w:p>
    <w:p w14:paraId="5D4D6BC6">
      <w:pPr>
        <w:pStyle w:val="3"/>
        <w:spacing w:before="219" w:line="219" w:lineRule="auto"/>
        <w:jc w:val="center"/>
        <w:rPr>
          <w:rFonts w:hint="eastAsia"/>
          <w:b/>
          <w:bCs/>
          <w:color w:val="auto"/>
          <w:spacing w:val="-7"/>
          <w:sz w:val="34"/>
          <w:szCs w:val="34"/>
          <w:highlight w:val="none"/>
          <w:lang w:eastAsia="zh-CN"/>
        </w:rPr>
      </w:pPr>
      <w:r>
        <w:rPr>
          <w:b/>
          <w:bCs/>
          <w:color w:val="auto"/>
          <w:spacing w:val="-7"/>
          <w:sz w:val="34"/>
          <w:szCs w:val="34"/>
          <w:highlight w:val="none"/>
          <w:lang w:eastAsia="zh-CN"/>
        </w:rPr>
        <w:t>“</w:t>
      </w:r>
      <w:r>
        <w:rPr>
          <w:rFonts w:hint="eastAsia"/>
          <w:b/>
          <w:bCs/>
          <w:color w:val="auto"/>
          <w:spacing w:val="-7"/>
          <w:sz w:val="34"/>
          <w:szCs w:val="34"/>
          <w:highlight w:val="none"/>
          <w:lang w:eastAsia="zh-CN"/>
        </w:rPr>
        <w:t>电子信息</w:t>
      </w:r>
      <w:r>
        <w:rPr>
          <w:b/>
          <w:bCs/>
          <w:color w:val="auto"/>
          <w:spacing w:val="-7"/>
          <w:sz w:val="34"/>
          <w:szCs w:val="34"/>
          <w:highlight w:val="none"/>
          <w:lang w:eastAsia="zh-CN"/>
        </w:rPr>
        <w:t>”</w:t>
      </w:r>
      <w:r>
        <w:rPr>
          <w:rFonts w:hint="eastAsia"/>
          <w:b/>
          <w:bCs/>
          <w:color w:val="auto"/>
          <w:spacing w:val="-7"/>
          <w:sz w:val="34"/>
          <w:szCs w:val="34"/>
          <w:highlight w:val="none"/>
          <w:lang w:eastAsia="zh-CN"/>
        </w:rPr>
        <w:t>硕士专业学位研究生培养方案</w:t>
      </w:r>
    </w:p>
    <w:p w14:paraId="1BF54840">
      <w:pPr>
        <w:widowControl/>
        <w:kinsoku/>
        <w:autoSpaceDE/>
        <w:autoSpaceDN/>
        <w:adjustRightInd/>
        <w:snapToGrid/>
        <w:spacing w:after="0" w:line="360" w:lineRule="auto"/>
        <w:jc w:val="center"/>
        <w:textAlignment w:val="auto"/>
        <w:rPr>
          <w:rFonts w:hint="eastAsia" w:ascii="Times New Roman" w:hAnsi="Times New Roman" w:eastAsia="宋体" w:cs="Times New Roman"/>
          <w:b/>
          <w:bCs/>
          <w:snapToGrid/>
          <w:color w:val="auto"/>
          <w:spacing w:val="-5"/>
          <w:kern w:val="2"/>
          <w:szCs w:val="22"/>
          <w:highlight w:val="none"/>
          <w:lang w:eastAsia="zh-CN"/>
        </w:rPr>
      </w:pPr>
      <w:r>
        <w:rPr>
          <w:rFonts w:hint="eastAsia" w:ascii="Times New Roman" w:hAnsi="Times New Roman" w:eastAsia="宋体" w:cs="Times New Roman"/>
          <w:b/>
          <w:bCs/>
          <w:snapToGrid/>
          <w:color w:val="auto"/>
          <w:spacing w:val="-5"/>
          <w:kern w:val="2"/>
          <w:szCs w:val="22"/>
          <w:highlight w:val="none"/>
          <w:lang w:eastAsia="zh-CN"/>
        </w:rPr>
        <w:t>（人工智能，专业代码：085410）</w:t>
      </w:r>
    </w:p>
    <w:p w14:paraId="0870D671">
      <w:pPr>
        <w:widowControl/>
        <w:kinsoku/>
        <w:autoSpaceDE/>
        <w:autoSpaceDN/>
        <w:adjustRightInd/>
        <w:snapToGrid/>
        <w:spacing w:after="0" w:line="360" w:lineRule="auto"/>
        <w:jc w:val="center"/>
        <w:textAlignment w:val="auto"/>
        <w:rPr>
          <w:rFonts w:hint="eastAsia" w:ascii="Times New Roman" w:hAnsi="Times New Roman" w:eastAsia="宋体" w:cs="Times New Roman"/>
          <w:b/>
          <w:bCs/>
          <w:snapToGrid/>
          <w:color w:val="auto"/>
          <w:spacing w:val="-5"/>
          <w:kern w:val="2"/>
          <w:szCs w:val="22"/>
          <w:highlight w:val="none"/>
          <w:lang w:eastAsia="zh-CN"/>
        </w:rPr>
      </w:pPr>
      <w:r>
        <w:rPr>
          <w:rFonts w:hint="eastAsia" w:ascii="Times New Roman" w:hAnsi="Times New Roman" w:eastAsia="宋体" w:cs="Times New Roman"/>
          <w:b/>
          <w:bCs/>
          <w:snapToGrid/>
          <w:color w:val="auto"/>
          <w:spacing w:val="-5"/>
          <w:kern w:val="2"/>
          <w:szCs w:val="22"/>
          <w:highlight w:val="none"/>
          <w:lang w:eastAsia="zh-CN"/>
        </w:rPr>
        <w:t>（计算机与信息工程学院，</w:t>
      </w:r>
      <w:r>
        <w:rPr>
          <w:rFonts w:hint="eastAsia"/>
          <w:b/>
          <w:bCs/>
          <w:color w:val="auto"/>
          <w:spacing w:val="-5"/>
          <w:highlight w:val="none"/>
          <w:lang w:eastAsia="zh-CN"/>
        </w:rPr>
        <w:t>2026级</w:t>
      </w:r>
      <w:r>
        <w:rPr>
          <w:rFonts w:hint="eastAsia"/>
          <w:b/>
          <w:bCs/>
          <w:color w:val="auto"/>
          <w:spacing w:val="-5"/>
          <w:highlight w:val="none"/>
          <w:lang w:val="en-US" w:eastAsia="zh-CN"/>
        </w:rPr>
        <w:t>起适用</w:t>
      </w:r>
      <w:r>
        <w:rPr>
          <w:rFonts w:hint="eastAsia" w:ascii="Times New Roman" w:hAnsi="Times New Roman" w:eastAsia="宋体" w:cs="Times New Roman"/>
          <w:b/>
          <w:bCs/>
          <w:snapToGrid/>
          <w:color w:val="auto"/>
          <w:spacing w:val="-5"/>
          <w:kern w:val="2"/>
          <w:szCs w:val="22"/>
          <w:highlight w:val="none"/>
          <w:lang w:eastAsia="zh-CN"/>
        </w:rPr>
        <w:t>）</w:t>
      </w:r>
    </w:p>
    <w:p w14:paraId="6E01855A">
      <w:pPr>
        <w:pStyle w:val="3"/>
        <w:spacing w:before="275" w:line="219" w:lineRule="auto"/>
        <w:outlineLvl w:val="0"/>
        <w:rPr>
          <w:rFonts w:hint="eastAsia"/>
          <w:b/>
          <w:bCs/>
          <w:color w:val="auto"/>
          <w:spacing w:val="-8"/>
          <w:highlight w:val="none"/>
          <w:lang w:eastAsia="zh-CN"/>
        </w:rPr>
      </w:pPr>
      <w:r>
        <w:rPr>
          <w:b/>
          <w:bCs/>
          <w:color w:val="auto"/>
          <w:spacing w:val="-8"/>
          <w:highlight w:val="none"/>
          <w:lang w:eastAsia="zh-CN"/>
        </w:rPr>
        <w:t>一、专业学位类别简介</w:t>
      </w:r>
    </w:p>
    <w:p w14:paraId="72E8D113">
      <w:pPr>
        <w:pStyle w:val="3"/>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人工智能是电子信息类别（专业学位）的招生领域之一（代码：085410）。该领域依托人工智能、计算机科学与技术、软件工程、信息与通信工程等学科，聚焦人工智能理论方法、关键技术与行业应用的融合创新实践，主要包括智能信息处理技术、大模型应用技术、</w:t>
      </w:r>
      <w:r>
        <w:rPr>
          <w:rFonts w:hint="eastAsia" w:ascii="Times New Roman" w:hAnsi="Times New Roman" w:cs="Times New Roman"/>
          <w:snapToGrid/>
          <w:color w:val="auto"/>
          <w:spacing w:val="-5"/>
          <w:kern w:val="2"/>
          <w:highlight w:val="none"/>
          <w:lang w:eastAsia="zh-CN"/>
        </w:rPr>
        <w:t>信息安全与隐私保护、</w:t>
      </w:r>
      <w:r>
        <w:rPr>
          <w:rFonts w:ascii="Times New Roman" w:hAnsi="Times New Roman" w:cs="Times New Roman"/>
          <w:color w:val="auto"/>
          <w:spacing w:val="-5"/>
          <w:highlight w:val="none"/>
          <w:lang w:eastAsia="zh-CN"/>
        </w:rPr>
        <w:t>智能机器人及应用等方向。</w:t>
      </w:r>
    </w:p>
    <w:p w14:paraId="19F13BAC">
      <w:pPr>
        <w:pStyle w:val="3"/>
        <w:widowControl w:val="0"/>
        <w:kinsoku/>
        <w:wordWrap w:val="0"/>
        <w:autoSpaceDE/>
        <w:autoSpaceDN/>
        <w:adjustRightInd/>
        <w:spacing w:after="0" w:line="360" w:lineRule="auto"/>
        <w:ind w:firstLine="460" w:firstLineChars="200"/>
        <w:jc w:val="both"/>
        <w:textAlignment w:val="auto"/>
        <w:rPr>
          <w:rFonts w:ascii="Times New Roman" w:hAnsi="Times New Roman" w:cs="Times New Roman"/>
          <w:snapToGrid/>
          <w:color w:val="auto"/>
          <w:spacing w:val="-5"/>
          <w:kern w:val="2"/>
          <w:highlight w:val="none"/>
          <w:lang w:eastAsia="zh-CN"/>
        </w:rPr>
      </w:pPr>
      <w:r>
        <w:rPr>
          <w:rFonts w:hint="eastAsia" w:ascii="Times New Roman" w:hAnsi="Times New Roman" w:cs="Times New Roman"/>
          <w:snapToGrid/>
          <w:color w:val="auto"/>
          <w:spacing w:val="-5"/>
          <w:kern w:val="2"/>
          <w:highlight w:val="none"/>
          <w:lang w:eastAsia="zh-CN"/>
        </w:rPr>
        <w:t>“</w:t>
      </w:r>
      <w:r>
        <w:rPr>
          <w:rFonts w:ascii="Times New Roman" w:hAnsi="Times New Roman" w:cs="Times New Roman"/>
          <w:snapToGrid/>
          <w:color w:val="auto"/>
          <w:spacing w:val="-5"/>
          <w:kern w:val="2"/>
          <w:highlight w:val="none"/>
          <w:lang w:eastAsia="zh-CN"/>
        </w:rPr>
        <w:t>电子信息</w:t>
      </w:r>
      <w:r>
        <w:rPr>
          <w:rFonts w:hint="eastAsia" w:ascii="Times New Roman" w:hAnsi="Times New Roman" w:cs="Times New Roman"/>
          <w:snapToGrid/>
          <w:color w:val="auto"/>
          <w:spacing w:val="-5"/>
          <w:kern w:val="2"/>
          <w:highlight w:val="none"/>
          <w:lang w:eastAsia="zh-CN"/>
        </w:rPr>
        <w:t>”</w:t>
      </w:r>
      <w:r>
        <w:rPr>
          <w:rFonts w:ascii="Times New Roman" w:hAnsi="Times New Roman" w:cs="Times New Roman"/>
          <w:snapToGrid/>
          <w:color w:val="auto"/>
          <w:spacing w:val="-5"/>
          <w:kern w:val="2"/>
          <w:highlight w:val="none"/>
          <w:lang w:eastAsia="zh-CN"/>
        </w:rPr>
        <w:t>硕士专业学位人工智能领域</w:t>
      </w:r>
      <w:r>
        <w:rPr>
          <w:rFonts w:hint="eastAsia" w:ascii="Times New Roman" w:hAnsi="Times New Roman" w:cs="Times New Roman"/>
          <w:snapToGrid/>
          <w:color w:val="auto"/>
          <w:spacing w:val="-5"/>
          <w:kern w:val="2"/>
          <w:highlight w:val="none"/>
          <w:lang w:eastAsia="zh-CN"/>
        </w:rPr>
        <w:t>（085410）</w:t>
      </w:r>
      <w:r>
        <w:rPr>
          <w:rFonts w:ascii="Times New Roman" w:hAnsi="Times New Roman" w:cs="Times New Roman"/>
          <w:snapToGrid/>
          <w:color w:val="auto"/>
          <w:spacing w:val="-5"/>
          <w:kern w:val="2"/>
          <w:highlight w:val="none"/>
          <w:lang w:eastAsia="zh-CN"/>
        </w:rPr>
        <w:t>是多学科跨域融合的新兴学科，集成了人工智能、电子电气、机械制造、计算机科学等多个工科专业的知识和技术，致力于解决工业、医疗健康、智慧城市的关键核心技术难题。计算机与信息工程学院电子信息专业人工智能领域主体依托厚技智算创新平台</w:t>
      </w:r>
      <w:r>
        <w:rPr>
          <w:rFonts w:hint="eastAsia" w:ascii="Times New Roman" w:hAnsi="Times New Roman" w:cs="Times New Roman"/>
          <w:snapToGrid/>
          <w:color w:val="auto"/>
          <w:spacing w:val="-5"/>
          <w:kern w:val="2"/>
          <w:highlight w:val="none"/>
          <w:lang w:eastAsia="zh-CN"/>
        </w:rPr>
        <w:t>（</w:t>
      </w:r>
      <w:r>
        <w:rPr>
          <w:rFonts w:ascii="Times New Roman" w:hAnsi="Times New Roman" w:cs="Times New Roman"/>
          <w:snapToGrid/>
          <w:color w:val="auto"/>
          <w:spacing w:val="-5"/>
          <w:kern w:val="2"/>
          <w:highlight w:val="none"/>
          <w:lang w:eastAsia="zh-CN"/>
        </w:rPr>
        <w:t>SSPU AI Lab</w:t>
      </w:r>
      <w:r>
        <w:rPr>
          <w:rFonts w:hint="eastAsia" w:ascii="Times New Roman" w:hAnsi="Times New Roman" w:cs="Times New Roman"/>
          <w:snapToGrid/>
          <w:color w:val="auto"/>
          <w:spacing w:val="-5"/>
          <w:kern w:val="2"/>
          <w:highlight w:val="none"/>
          <w:lang w:eastAsia="zh-CN"/>
        </w:rPr>
        <w:t>）</w:t>
      </w:r>
      <w:r>
        <w:rPr>
          <w:rFonts w:ascii="Times New Roman" w:hAnsi="Times New Roman" w:cs="Times New Roman"/>
          <w:snapToGrid/>
          <w:color w:val="auto"/>
          <w:spacing w:val="-5"/>
          <w:kern w:val="2"/>
          <w:highlight w:val="none"/>
          <w:lang w:eastAsia="zh-CN"/>
        </w:rPr>
        <w:t>和学科团队，面向国家和长三角重大需求和经济主战场，坚持</w:t>
      </w:r>
      <w:r>
        <w:rPr>
          <w:rFonts w:hint="eastAsia" w:ascii="Times New Roman" w:hAnsi="Times New Roman" w:cs="Times New Roman"/>
          <w:snapToGrid/>
          <w:color w:val="auto"/>
          <w:spacing w:val="-5"/>
          <w:kern w:val="2"/>
          <w:highlight w:val="none"/>
          <w:lang w:eastAsia="zh-CN"/>
        </w:rPr>
        <w:t>“</w:t>
      </w:r>
      <w:r>
        <w:rPr>
          <w:rFonts w:ascii="Times New Roman" w:hAnsi="Times New Roman" w:cs="Times New Roman"/>
          <w:snapToGrid/>
          <w:color w:val="auto"/>
          <w:spacing w:val="-5"/>
          <w:kern w:val="2"/>
          <w:highlight w:val="none"/>
          <w:lang w:eastAsia="zh-CN"/>
        </w:rPr>
        <w:t>人工智能+</w:t>
      </w:r>
      <w:r>
        <w:rPr>
          <w:rFonts w:hint="eastAsia" w:ascii="Times New Roman" w:hAnsi="Times New Roman" w:cs="Times New Roman"/>
          <w:snapToGrid/>
          <w:color w:val="auto"/>
          <w:spacing w:val="-5"/>
          <w:kern w:val="2"/>
          <w:highlight w:val="none"/>
          <w:lang w:eastAsia="zh-CN"/>
        </w:rPr>
        <w:t>”</w:t>
      </w:r>
      <w:r>
        <w:rPr>
          <w:rFonts w:ascii="Times New Roman" w:hAnsi="Times New Roman" w:cs="Times New Roman"/>
          <w:snapToGrid/>
          <w:color w:val="auto"/>
          <w:spacing w:val="-5"/>
          <w:kern w:val="2"/>
          <w:highlight w:val="none"/>
          <w:lang w:eastAsia="zh-CN"/>
        </w:rPr>
        <w:t>的多学科交叉培养模式，开展关键技术研究，涵盖人工智能算法核心、机器学习、深度学习、自然语言处理、多模态信息处理、大模型应用等多个研究方向。</w:t>
      </w:r>
    </w:p>
    <w:p w14:paraId="712CA377">
      <w:pPr>
        <w:pStyle w:val="3"/>
        <w:widowControl w:val="0"/>
        <w:kinsoku/>
        <w:wordWrap w:val="0"/>
        <w:autoSpaceDE/>
        <w:autoSpaceDN/>
        <w:adjustRightInd/>
        <w:spacing w:after="0" w:line="360" w:lineRule="auto"/>
        <w:ind w:firstLine="460" w:firstLineChars="200"/>
        <w:jc w:val="both"/>
        <w:textAlignment w:val="auto"/>
        <w:rPr>
          <w:rFonts w:ascii="Times New Roman" w:hAnsi="Times New Roman" w:cs="Times New Roman"/>
          <w:snapToGrid/>
          <w:color w:val="auto"/>
          <w:spacing w:val="-5"/>
          <w:kern w:val="2"/>
          <w:highlight w:val="none"/>
          <w:lang w:eastAsia="zh-CN"/>
        </w:rPr>
      </w:pPr>
      <w:r>
        <w:rPr>
          <w:rFonts w:ascii="Times New Roman" w:hAnsi="Times New Roman" w:cs="Times New Roman"/>
          <w:snapToGrid/>
          <w:color w:val="auto"/>
          <w:spacing w:val="-5"/>
          <w:kern w:val="2"/>
          <w:highlight w:val="none"/>
          <w:lang w:eastAsia="zh-CN"/>
        </w:rPr>
        <w:t>本学位点聚焦人工智能领域的</w:t>
      </w:r>
      <w:r>
        <w:rPr>
          <w:rFonts w:hint="eastAsia" w:ascii="Times New Roman" w:hAnsi="Times New Roman" w:cs="Times New Roman"/>
          <w:snapToGrid/>
          <w:color w:val="auto"/>
          <w:spacing w:val="-5"/>
          <w:kern w:val="2"/>
          <w:highlight w:val="none"/>
          <w:lang w:eastAsia="zh-CN"/>
        </w:rPr>
        <w:t>智能信息处理技术、大模型应用技术、信息安全与隐私保护、智能机器人及应用四</w:t>
      </w:r>
      <w:r>
        <w:rPr>
          <w:rFonts w:ascii="Times New Roman" w:hAnsi="Times New Roman" w:cs="Times New Roman"/>
          <w:snapToGrid/>
          <w:color w:val="auto"/>
          <w:spacing w:val="-5"/>
          <w:kern w:val="2"/>
          <w:highlight w:val="none"/>
          <w:lang w:eastAsia="zh-CN"/>
        </w:rPr>
        <w:t>个方向的人才培养。</w:t>
      </w:r>
    </w:p>
    <w:p w14:paraId="2A951456">
      <w:pPr>
        <w:pStyle w:val="3"/>
        <w:spacing w:before="275" w:line="219" w:lineRule="auto"/>
        <w:outlineLvl w:val="0"/>
        <w:rPr>
          <w:rFonts w:hint="eastAsia"/>
          <w:b/>
          <w:bCs/>
          <w:color w:val="auto"/>
          <w:spacing w:val="-8"/>
          <w:highlight w:val="none"/>
          <w:lang w:eastAsia="zh-CN"/>
        </w:rPr>
      </w:pPr>
      <w:r>
        <w:rPr>
          <w:b/>
          <w:bCs/>
          <w:color w:val="auto"/>
          <w:spacing w:val="-8"/>
          <w:highlight w:val="none"/>
          <w:lang w:eastAsia="zh-CN"/>
        </w:rPr>
        <w:t>二、培养目标</w:t>
      </w:r>
    </w:p>
    <w:p w14:paraId="52CD6A7E">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ascii="Times New Roman" w:hAnsi="Times New Roman" w:cs="Times New Roman"/>
          <w:color w:val="auto"/>
          <w:spacing w:val="-5"/>
          <w:highlight w:val="none"/>
          <w:lang w:eastAsia="zh-CN"/>
        </w:rPr>
        <w:t>面向经济社会发展和行业创新发展需求，立足上海、辐射长三角，培养精技术、重责任、善创新、掌握人工智能技术职业领域坚实的基础理论和宽广的专业知识、具备工程实践能力、数字技术素养、责任担当意识、绿色发展理念的高素质、高层次应用创新型人才。</w:t>
      </w:r>
    </w:p>
    <w:p w14:paraId="3399DA5F">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ascii="Times New Roman" w:hAnsi="Times New Roman" w:cs="Times New Roman"/>
          <w:color w:val="auto"/>
          <w:spacing w:val="-5"/>
          <w:highlight w:val="none"/>
          <w:lang w:eastAsia="zh-CN"/>
        </w:rPr>
        <w:t>1.</w:t>
      </w:r>
      <w:r>
        <w:rPr>
          <w:rFonts w:ascii="Times New Roman" w:hAnsi="Times New Roman" w:cs="Times New Roman"/>
          <w:color w:val="auto"/>
          <w:spacing w:val="-5"/>
          <w:highlight w:val="none"/>
          <w:lang w:eastAsia="zh-CN"/>
        </w:rPr>
        <w:t xml:space="preserve"> 拥护中国共产党领导，热爱祖国，具有良好的社会责任感和道德品质，遵纪守法，积极进取，勇于创新。</w:t>
      </w:r>
    </w:p>
    <w:p w14:paraId="303CAC8C">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ascii="Times New Roman" w:hAnsi="Times New Roman" w:cs="Times New Roman"/>
          <w:color w:val="auto"/>
          <w:spacing w:val="-5"/>
          <w:highlight w:val="none"/>
          <w:lang w:eastAsia="zh-CN"/>
        </w:rPr>
        <w:t>2.</w:t>
      </w:r>
      <w:r>
        <w:rPr>
          <w:rFonts w:ascii="Times New Roman" w:hAnsi="Times New Roman" w:cs="Times New Roman"/>
          <w:color w:val="auto"/>
          <w:spacing w:val="-5"/>
          <w:highlight w:val="none"/>
          <w:lang w:eastAsia="zh-CN"/>
        </w:rPr>
        <w:t xml:space="preserve"> 了解国内外人工智能技术的现状和发展趋势，熟悉人工智能专业领域的相关规范，熟悉解决人工智能</w:t>
      </w:r>
      <w:r>
        <w:rPr>
          <w:rFonts w:hint="eastAsia" w:ascii="Times New Roman" w:hAnsi="Times New Roman" w:cs="Times New Roman"/>
          <w:color w:val="auto"/>
          <w:spacing w:val="-5"/>
          <w:highlight w:val="none"/>
          <w:lang w:eastAsia="zh-CN"/>
        </w:rPr>
        <w:t>相关</w:t>
      </w:r>
      <w:r>
        <w:rPr>
          <w:rFonts w:ascii="Times New Roman" w:hAnsi="Times New Roman" w:cs="Times New Roman"/>
          <w:color w:val="auto"/>
          <w:spacing w:val="-5"/>
          <w:highlight w:val="none"/>
          <w:lang w:eastAsia="zh-CN"/>
        </w:rPr>
        <w:t>问题的先进技术方法和手段。</w:t>
      </w:r>
    </w:p>
    <w:p w14:paraId="755F950E">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ascii="Times New Roman" w:hAnsi="Times New Roman" w:cs="Times New Roman"/>
          <w:color w:val="auto"/>
          <w:spacing w:val="-5"/>
          <w:highlight w:val="none"/>
          <w:lang w:eastAsia="zh-CN"/>
        </w:rPr>
        <w:t>3.</w:t>
      </w:r>
      <w:r>
        <w:rPr>
          <w:rFonts w:ascii="Times New Roman" w:hAnsi="Times New Roman" w:cs="Times New Roman"/>
          <w:color w:val="auto"/>
          <w:spacing w:val="-5"/>
          <w:highlight w:val="none"/>
          <w:lang w:eastAsia="zh-CN"/>
        </w:rPr>
        <w:t xml:space="preserve"> 掌握人工智能领域扎实的基础理论和宽广的专业知识；</w:t>
      </w:r>
      <w:r>
        <w:rPr>
          <w:rFonts w:hint="eastAsia" w:ascii="Times New Roman" w:hAnsi="Times New Roman" w:cs="Times New Roman"/>
          <w:color w:val="auto"/>
          <w:spacing w:val="-5"/>
          <w:highlight w:val="none"/>
          <w:lang w:eastAsia="zh-CN"/>
        </w:rPr>
        <w:t>并</w:t>
      </w:r>
      <w:r>
        <w:rPr>
          <w:rFonts w:ascii="Times New Roman" w:hAnsi="Times New Roman" w:cs="Times New Roman"/>
          <w:color w:val="auto"/>
          <w:spacing w:val="-5"/>
          <w:highlight w:val="none"/>
          <w:lang w:eastAsia="zh-CN"/>
        </w:rPr>
        <w:t>具备运用先进的AI算法、模型与系统，从事智能系统设计、模型实现与调优、项目</w:t>
      </w:r>
      <w:r>
        <w:rPr>
          <w:rFonts w:hint="eastAsia" w:ascii="Times New Roman" w:hAnsi="Times New Roman" w:cs="Times New Roman"/>
          <w:color w:val="auto"/>
          <w:spacing w:val="-5"/>
          <w:highlight w:val="none"/>
          <w:lang w:eastAsia="zh-CN"/>
        </w:rPr>
        <w:t>和算法</w:t>
      </w:r>
      <w:r>
        <w:rPr>
          <w:rFonts w:ascii="Times New Roman" w:hAnsi="Times New Roman" w:cs="Times New Roman"/>
          <w:color w:val="auto"/>
          <w:spacing w:val="-5"/>
          <w:highlight w:val="none"/>
          <w:lang w:eastAsia="zh-CN"/>
        </w:rPr>
        <w:t>研发等</w:t>
      </w:r>
      <w:r>
        <w:rPr>
          <w:rFonts w:hint="eastAsia" w:ascii="Times New Roman" w:hAnsi="Times New Roman" w:cs="Times New Roman"/>
          <w:color w:val="auto"/>
          <w:spacing w:val="-5"/>
          <w:highlight w:val="none"/>
          <w:lang w:eastAsia="zh-CN"/>
        </w:rPr>
        <w:t>专业</w:t>
      </w:r>
      <w:r>
        <w:rPr>
          <w:rFonts w:ascii="Times New Roman" w:hAnsi="Times New Roman" w:cs="Times New Roman"/>
          <w:color w:val="auto"/>
          <w:spacing w:val="-5"/>
          <w:highlight w:val="none"/>
          <w:lang w:eastAsia="zh-CN"/>
        </w:rPr>
        <w:t>工作的能力</w:t>
      </w:r>
      <w:r>
        <w:rPr>
          <w:rFonts w:hint="eastAsia" w:ascii="Times New Roman" w:hAnsi="Times New Roman" w:cs="Times New Roman"/>
          <w:color w:val="auto"/>
          <w:spacing w:val="-5"/>
          <w:highlight w:val="none"/>
          <w:lang w:eastAsia="zh-CN"/>
        </w:rPr>
        <w:t>。</w:t>
      </w:r>
    </w:p>
    <w:p w14:paraId="5EAAA747">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ascii="Times New Roman" w:hAnsi="Times New Roman" w:cs="Times New Roman"/>
          <w:color w:val="auto"/>
          <w:spacing w:val="-5"/>
          <w:highlight w:val="none"/>
          <w:lang w:eastAsia="zh-CN"/>
        </w:rPr>
        <w:t>4.</w:t>
      </w:r>
      <w:r>
        <w:rPr>
          <w:rFonts w:ascii="Times New Roman" w:hAnsi="Times New Roman" w:cs="Times New Roman"/>
          <w:color w:val="auto"/>
          <w:spacing w:val="-5"/>
          <w:highlight w:val="none"/>
          <w:lang w:eastAsia="zh-CN"/>
        </w:rPr>
        <w:t xml:space="preserve"> 熟练掌握英语，具备良好的阅读和撰写外语资料的能力和进行国际化交流的能力。</w:t>
      </w:r>
    </w:p>
    <w:p w14:paraId="0908D688">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ascii="Times New Roman" w:hAnsi="Times New Roman" w:cs="Times New Roman"/>
          <w:color w:val="auto"/>
          <w:spacing w:val="-5"/>
          <w:highlight w:val="none"/>
          <w:lang w:eastAsia="zh-CN"/>
        </w:rPr>
        <w:t>5.</w:t>
      </w:r>
      <w:r>
        <w:rPr>
          <w:rFonts w:ascii="Times New Roman" w:hAnsi="Times New Roman" w:cs="Times New Roman"/>
          <w:color w:val="auto"/>
          <w:spacing w:val="-5"/>
          <w:highlight w:val="none"/>
          <w:lang w:eastAsia="zh-CN"/>
        </w:rPr>
        <w:t xml:space="preserve"> 具有良好的学术规范、工程伦理、敬业精神和职业道德，具有科学严谨和求真务实的学习态度和工作作风，拥有较好的沟通技巧和团队协作能力。</w:t>
      </w:r>
    </w:p>
    <w:p w14:paraId="0F18D437">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ascii="Times New Roman" w:hAnsi="Times New Roman" w:cs="Times New Roman"/>
          <w:color w:val="auto"/>
          <w:spacing w:val="-5"/>
          <w:highlight w:val="none"/>
          <w:lang w:eastAsia="zh-CN"/>
        </w:rPr>
        <w:t>6.</w:t>
      </w:r>
      <w:r>
        <w:rPr>
          <w:rFonts w:ascii="Times New Roman" w:hAnsi="Times New Roman" w:cs="Times New Roman"/>
          <w:color w:val="auto"/>
          <w:spacing w:val="-5"/>
          <w:highlight w:val="none"/>
          <w:lang w:eastAsia="zh-CN"/>
        </w:rPr>
        <w:t xml:space="preserve"> 具有发现和解决问题、终身学习与发展的意识与能力。</w:t>
      </w:r>
    </w:p>
    <w:p w14:paraId="36DD9442">
      <w:pPr>
        <w:pStyle w:val="3"/>
        <w:spacing w:before="275" w:line="219" w:lineRule="auto"/>
        <w:outlineLvl w:val="0"/>
        <w:rPr>
          <w:rFonts w:hint="eastAsia"/>
          <w:b/>
          <w:bCs/>
          <w:color w:val="auto"/>
          <w:spacing w:val="-8"/>
          <w:highlight w:val="none"/>
          <w:lang w:eastAsia="zh-CN"/>
        </w:rPr>
      </w:pPr>
      <w:r>
        <w:rPr>
          <w:b/>
          <w:bCs/>
          <w:color w:val="auto"/>
          <w:spacing w:val="-8"/>
          <w:highlight w:val="none"/>
          <w:lang w:eastAsia="zh-CN"/>
        </w:rPr>
        <w:t>三、学习方式与修业年限</w:t>
      </w:r>
    </w:p>
    <w:p w14:paraId="0530F0DE">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学习方式为全日制</w:t>
      </w:r>
      <w:r>
        <w:rPr>
          <w:rFonts w:hint="eastAsia" w:ascii="Times New Roman" w:hAnsi="Times New Roman" w:cs="Times New Roman"/>
          <w:color w:val="auto"/>
          <w:spacing w:val="-5"/>
          <w:highlight w:val="none"/>
          <w:lang w:val="en-US" w:eastAsia="zh-CN"/>
        </w:rPr>
        <w:t>和非全日制</w:t>
      </w:r>
      <w:bookmarkStart w:id="0" w:name="_GoBack"/>
      <w:bookmarkEnd w:id="0"/>
      <w:r>
        <w:rPr>
          <w:rFonts w:ascii="Times New Roman" w:hAnsi="Times New Roman" w:cs="Times New Roman"/>
          <w:color w:val="auto"/>
          <w:spacing w:val="-5"/>
          <w:highlight w:val="none"/>
          <w:lang w:eastAsia="zh-CN"/>
        </w:rPr>
        <w:t>，基本修业年限3年，弹性幅度最短不少于2.5年，最长不超过5年。</w:t>
      </w:r>
    </w:p>
    <w:p w14:paraId="1BF0DAD1">
      <w:pPr>
        <w:pStyle w:val="3"/>
        <w:spacing w:before="275" w:line="219" w:lineRule="auto"/>
        <w:outlineLvl w:val="0"/>
        <w:rPr>
          <w:rFonts w:hint="eastAsia"/>
          <w:b/>
          <w:bCs/>
          <w:color w:val="auto"/>
          <w:spacing w:val="-8"/>
          <w:highlight w:val="none"/>
          <w:lang w:eastAsia="zh-CN"/>
        </w:rPr>
      </w:pPr>
      <w:r>
        <w:rPr>
          <w:b/>
          <w:bCs/>
          <w:color w:val="auto"/>
          <w:spacing w:val="-8"/>
          <w:highlight w:val="none"/>
          <w:lang w:eastAsia="zh-CN"/>
        </w:rPr>
        <w:t>四、培养方式</w:t>
      </w:r>
    </w:p>
    <w:p w14:paraId="5CCCE9C0">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1.实行</w:t>
      </w:r>
      <w:r>
        <w:rPr>
          <w:rFonts w:hint="eastAsia" w:ascii="Times New Roman" w:hAnsi="Times New Roman" w:cs="Times New Roman"/>
          <w:color w:val="auto"/>
          <w:spacing w:val="-5"/>
          <w:highlight w:val="none"/>
          <w:lang w:eastAsia="zh-CN"/>
        </w:rPr>
        <w:t>“</w:t>
      </w:r>
      <w:r>
        <w:rPr>
          <w:rFonts w:hint="eastAsia" w:ascii="Times New Roman" w:hAnsi="Times New Roman" w:cs="Times New Roman"/>
          <w:color w:val="auto"/>
          <w:spacing w:val="-5"/>
          <w:highlight w:val="none"/>
          <w:lang w:val="en-US" w:eastAsia="zh-CN"/>
        </w:rPr>
        <w:t>产教融合</w:t>
      </w:r>
      <w:r>
        <w:rPr>
          <w:rFonts w:hint="eastAsia" w:ascii="Times New Roman" w:hAnsi="Times New Roman" w:cs="Times New Roman"/>
          <w:color w:val="auto"/>
          <w:spacing w:val="-5"/>
          <w:highlight w:val="none"/>
          <w:lang w:eastAsia="zh-CN"/>
        </w:rPr>
        <w:t>”</w:t>
      </w:r>
      <w:r>
        <w:rPr>
          <w:rFonts w:ascii="Times New Roman" w:hAnsi="Times New Roman" w:cs="Times New Roman"/>
          <w:color w:val="auto"/>
          <w:spacing w:val="-5"/>
          <w:highlight w:val="none"/>
          <w:lang w:eastAsia="zh-CN"/>
        </w:rPr>
        <w:t>培养模式。培养过程以</w:t>
      </w:r>
      <w:r>
        <w:rPr>
          <w:rFonts w:hint="eastAsia" w:ascii="Times New Roman" w:hAnsi="Times New Roman" w:cs="Times New Roman"/>
          <w:color w:val="auto"/>
          <w:spacing w:val="-5"/>
          <w:highlight w:val="none"/>
          <w:lang w:eastAsia="zh-CN"/>
        </w:rPr>
        <w:t>“</w:t>
      </w:r>
      <w:r>
        <w:rPr>
          <w:rFonts w:hint="eastAsia" w:ascii="Times New Roman" w:hAnsi="Times New Roman" w:cs="Times New Roman"/>
          <w:color w:val="auto"/>
          <w:spacing w:val="-5"/>
          <w:highlight w:val="none"/>
          <w:lang w:val="en-US" w:eastAsia="zh-CN"/>
        </w:rPr>
        <w:t>产教融合</w:t>
      </w:r>
      <w:r>
        <w:rPr>
          <w:rFonts w:hint="eastAsia" w:ascii="Times New Roman" w:hAnsi="Times New Roman" w:cs="Times New Roman"/>
          <w:color w:val="auto"/>
          <w:spacing w:val="-5"/>
          <w:highlight w:val="none"/>
          <w:lang w:eastAsia="zh-CN"/>
        </w:rPr>
        <w:t>”</w:t>
      </w:r>
      <w:r>
        <w:rPr>
          <w:rFonts w:ascii="Times New Roman" w:hAnsi="Times New Roman" w:cs="Times New Roman"/>
          <w:color w:val="auto"/>
          <w:spacing w:val="-5"/>
          <w:highlight w:val="none"/>
          <w:lang w:eastAsia="zh-CN"/>
        </w:rPr>
        <w:t>为培养主线，课程学习、实践教学和学位论文三个环节递进式开展，其中实践教学和课程学习采用学分制进行量化考核。</w:t>
      </w:r>
    </w:p>
    <w:p w14:paraId="35159AAA">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2.采用校企</w:t>
      </w:r>
      <w:r>
        <w:rPr>
          <w:rFonts w:hint="eastAsia" w:ascii="Times New Roman" w:hAnsi="Times New Roman" w:cs="Times New Roman"/>
          <w:color w:val="auto"/>
          <w:spacing w:val="-5"/>
          <w:highlight w:val="none"/>
          <w:lang w:eastAsia="zh-CN"/>
        </w:rPr>
        <w:t>“</w:t>
      </w:r>
      <w:r>
        <w:rPr>
          <w:rFonts w:ascii="Times New Roman" w:hAnsi="Times New Roman" w:cs="Times New Roman"/>
          <w:color w:val="auto"/>
          <w:spacing w:val="-5"/>
          <w:highlight w:val="none"/>
          <w:lang w:eastAsia="zh-CN"/>
        </w:rPr>
        <w:t>双导师</w:t>
      </w:r>
      <w:r>
        <w:rPr>
          <w:rFonts w:hint="eastAsia" w:ascii="Times New Roman" w:hAnsi="Times New Roman" w:cs="Times New Roman"/>
          <w:color w:val="auto"/>
          <w:spacing w:val="-5"/>
          <w:highlight w:val="none"/>
          <w:lang w:eastAsia="zh-CN"/>
        </w:rPr>
        <w:t>”</w:t>
      </w:r>
      <w:r>
        <w:rPr>
          <w:rFonts w:ascii="Times New Roman" w:hAnsi="Times New Roman" w:cs="Times New Roman"/>
          <w:color w:val="auto"/>
          <w:spacing w:val="-5"/>
          <w:highlight w:val="none"/>
          <w:lang w:eastAsia="zh-CN"/>
        </w:rPr>
        <w:t>联合培养制。校内导师为第一责任导师，具有较高学术水平和丰富工程经验，负责制定研究生培养计划，指导研究生的课程学习和学位工作涉及的学术内容；企业导师由具有丰富工程实践经验的企业技术专家担任，负责指导研究生的专业实践和学位工作涉及的工程实际内容；导师组共同负责研究生思想品德、学风和职业素养教育。</w:t>
      </w:r>
    </w:p>
    <w:p w14:paraId="6428C128">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3.采用</w:t>
      </w:r>
      <w:r>
        <w:rPr>
          <w:rFonts w:hint="eastAsia" w:ascii="Times New Roman" w:hAnsi="Times New Roman" w:cs="Times New Roman"/>
          <w:color w:val="auto"/>
          <w:spacing w:val="-5"/>
          <w:highlight w:val="none"/>
          <w:lang w:eastAsia="zh-CN"/>
        </w:rPr>
        <w:t>“</w:t>
      </w:r>
      <w:r>
        <w:rPr>
          <w:rFonts w:ascii="Times New Roman" w:hAnsi="Times New Roman" w:cs="Times New Roman"/>
          <w:color w:val="auto"/>
          <w:spacing w:val="-5"/>
          <w:highlight w:val="none"/>
          <w:lang w:eastAsia="zh-CN"/>
        </w:rPr>
        <w:t>线上线下</w:t>
      </w:r>
      <w:r>
        <w:rPr>
          <w:rFonts w:hint="eastAsia" w:ascii="Times New Roman" w:hAnsi="Times New Roman" w:cs="Times New Roman"/>
          <w:color w:val="auto"/>
          <w:spacing w:val="-5"/>
          <w:highlight w:val="none"/>
          <w:lang w:eastAsia="zh-CN"/>
        </w:rPr>
        <w:t>”</w:t>
      </w:r>
      <w:r>
        <w:rPr>
          <w:rFonts w:ascii="Times New Roman" w:hAnsi="Times New Roman" w:cs="Times New Roman"/>
          <w:color w:val="auto"/>
          <w:spacing w:val="-5"/>
          <w:highlight w:val="none"/>
          <w:lang w:eastAsia="zh-CN"/>
        </w:rPr>
        <w:t>互补融合方式。课程设置以行业、企业人才需求为目标，通过课内传授、课外指导，在线教学、案例教学等方式，满足学生多元化需求和个性化培养的要求。</w:t>
      </w:r>
    </w:p>
    <w:p w14:paraId="14807491">
      <w:pPr>
        <w:pStyle w:val="3"/>
        <w:spacing w:before="275" w:line="219" w:lineRule="auto"/>
        <w:outlineLvl w:val="0"/>
        <w:rPr>
          <w:rFonts w:hint="eastAsia"/>
          <w:b/>
          <w:bCs/>
          <w:color w:val="auto"/>
          <w:spacing w:val="-8"/>
          <w:highlight w:val="none"/>
          <w:lang w:eastAsia="zh-CN"/>
        </w:rPr>
      </w:pPr>
      <w:r>
        <w:rPr>
          <w:b/>
          <w:bCs/>
          <w:color w:val="auto"/>
          <w:spacing w:val="-8"/>
          <w:highlight w:val="none"/>
          <w:lang w:eastAsia="zh-CN"/>
        </w:rPr>
        <w:t>五、培养方向</w:t>
      </w:r>
    </w:p>
    <w:p w14:paraId="4851D103">
      <w:pPr>
        <w:pStyle w:val="3"/>
        <w:kinsoku/>
        <w:wordWrap w:val="0"/>
        <w:spacing w:after="0" w:line="360" w:lineRule="auto"/>
        <w:ind w:firstLine="460" w:firstLineChars="200"/>
        <w:jc w:val="both"/>
        <w:rPr>
          <w:rFonts w:hint="eastAsia"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本专业学位下设</w:t>
      </w:r>
      <w:r>
        <w:rPr>
          <w:rFonts w:hint="eastAsia" w:ascii="Times New Roman" w:hAnsi="Times New Roman" w:cs="Times New Roman"/>
          <w:color w:val="auto"/>
          <w:spacing w:val="-5"/>
          <w:highlight w:val="none"/>
          <w:lang w:eastAsia="zh-CN"/>
        </w:rPr>
        <w:t>智能信息处理技术、大模型应用技术、智能机器人及应用</w:t>
      </w:r>
      <w:r>
        <w:rPr>
          <w:rFonts w:ascii="Times New Roman" w:hAnsi="Times New Roman" w:cs="Times New Roman"/>
          <w:color w:val="auto"/>
          <w:spacing w:val="-5"/>
          <w:highlight w:val="none"/>
          <w:lang w:eastAsia="zh-CN"/>
        </w:rPr>
        <w:t>等</w:t>
      </w:r>
      <w:r>
        <w:rPr>
          <w:rFonts w:hint="eastAsia" w:ascii="Times New Roman" w:hAnsi="Times New Roman" w:cs="Times New Roman"/>
          <w:color w:val="auto"/>
          <w:spacing w:val="-5"/>
          <w:highlight w:val="none"/>
          <w:lang w:eastAsia="zh-CN"/>
        </w:rPr>
        <w:t>4</w:t>
      </w:r>
      <w:r>
        <w:rPr>
          <w:rFonts w:ascii="Times New Roman" w:hAnsi="Times New Roman" w:cs="Times New Roman"/>
          <w:color w:val="auto"/>
          <w:spacing w:val="-5"/>
          <w:highlight w:val="none"/>
          <w:lang w:eastAsia="zh-CN"/>
        </w:rPr>
        <w:t>个培养方向，具体研究内容如下：</w:t>
      </w:r>
    </w:p>
    <w:p w14:paraId="4C574448">
      <w:pPr>
        <w:pStyle w:val="3"/>
        <w:numPr>
          <w:ilvl w:val="0"/>
          <w:numId w:val="1"/>
        </w:numPr>
        <w:kinsoku/>
        <w:wordWrap w:val="0"/>
        <w:spacing w:after="0" w:line="360" w:lineRule="auto"/>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智能信息处理技术</w:t>
      </w:r>
    </w:p>
    <w:p w14:paraId="4E48DA11">
      <w:pPr>
        <w:kinsoku/>
        <w:autoSpaceDE/>
        <w:autoSpaceDN/>
        <w:adjustRightInd/>
        <w:spacing w:after="0" w:line="360" w:lineRule="auto"/>
        <w:ind w:firstLine="480"/>
        <w:textAlignment w:val="auto"/>
        <w:rPr>
          <w:rFonts w:hint="eastAsia" w:ascii="宋体" w:hAnsi="宋体" w:eastAsia="宋体" w:cs="宋体"/>
          <w:snapToGrid/>
          <w:color w:val="auto"/>
          <w:sz w:val="24"/>
          <w:szCs w:val="24"/>
          <w:highlight w:val="none"/>
          <w:lang w:eastAsia="zh-CN"/>
        </w:rPr>
      </w:pPr>
      <w:r>
        <w:rPr>
          <w:rFonts w:ascii="宋体" w:hAnsi="宋体" w:eastAsia="宋体" w:cs="宋体"/>
          <w:snapToGrid/>
          <w:color w:val="auto"/>
          <w:sz w:val="24"/>
          <w:szCs w:val="24"/>
          <w:highlight w:val="none"/>
          <w:lang w:eastAsia="zh-CN"/>
        </w:rPr>
        <w:t>面向多媒体信息理解、行业智能化升级、智慧服务等场景，聚焦人工智能领域智能信息处理技术核心，融合模式识别、机器学习、数据挖掘与知识表示技术，围绕语音、图像、视频、文本等多源异构信息的智能分析与处理，针对信息感知精度提升、多模态数据融合、知识图谱构建与智能决策优化等关键问题，研发高效、精准、可靠的智能信息处理方法与系统，培养具备智能算法设计、数据分析处理与系统工程应用能力的复合型人才。</w:t>
      </w:r>
    </w:p>
    <w:p w14:paraId="123416B3">
      <w:pPr>
        <w:pStyle w:val="3"/>
        <w:numPr>
          <w:ilvl w:val="0"/>
          <w:numId w:val="1"/>
        </w:numPr>
        <w:kinsoku/>
        <w:wordWrap w:val="0"/>
        <w:spacing w:after="0" w:line="360" w:lineRule="auto"/>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大模型应用技术</w:t>
      </w:r>
    </w:p>
    <w:p w14:paraId="04ABCBCB">
      <w:pPr>
        <w:kinsoku/>
        <w:autoSpaceDE/>
        <w:autoSpaceDN/>
        <w:adjustRightInd/>
        <w:spacing w:after="0" w:line="360" w:lineRule="auto"/>
        <w:ind w:firstLine="480"/>
        <w:textAlignment w:val="auto"/>
        <w:rPr>
          <w:rFonts w:ascii="宋体" w:hAnsi="宋体" w:eastAsia="宋体" w:cs="宋体"/>
          <w:snapToGrid/>
          <w:color w:val="auto"/>
          <w:sz w:val="24"/>
          <w:szCs w:val="24"/>
          <w:highlight w:val="none"/>
          <w:lang w:eastAsia="zh-CN"/>
        </w:rPr>
      </w:pPr>
      <w:r>
        <w:rPr>
          <w:rFonts w:ascii="宋体" w:hAnsi="宋体" w:eastAsia="宋体" w:cs="宋体"/>
          <w:snapToGrid/>
          <w:color w:val="auto"/>
          <w:sz w:val="24"/>
          <w:szCs w:val="24"/>
          <w:highlight w:val="none"/>
          <w:lang w:eastAsia="zh-CN"/>
        </w:rPr>
        <w:t>面向智能制造、智能服务、行业知识问答、企业数字化转型等需求，聚焦大模型产业化部署与工程化应用核心，融合深度学习、自然语言处理、多模态学习与知识增强技术，围绕大模型垂直领域适配、轻量化部署、性能优化与可信应用等方向，针对行业数据适配、推理成本控制、专业知识增强与应用可靠性等关键问题，研发提示工程、模型微调、检索增强生成与行业解决方案开发等技术，培养具备大模型应用开发、系统优化、工程部署与场景创新能力的高层次应用型人才。</w:t>
      </w:r>
    </w:p>
    <w:p w14:paraId="7650BC4F">
      <w:pPr>
        <w:pStyle w:val="13"/>
        <w:numPr>
          <w:ilvl w:val="0"/>
          <w:numId w:val="1"/>
        </w:numPr>
        <w:spacing w:line="360" w:lineRule="auto"/>
        <w:rPr>
          <w:color w:val="auto"/>
          <w:highlight w:val="none"/>
        </w:rPr>
      </w:pPr>
      <w:r>
        <w:rPr>
          <w:rFonts w:hint="eastAsia" w:ascii="Times New Roman" w:hAnsi="Times New Roman" w:cs="Times New Roman"/>
          <w:color w:val="auto"/>
          <w:spacing w:val="-5"/>
          <w:highlight w:val="none"/>
        </w:rPr>
        <w:t>信息安全与隐私保护</w:t>
      </w:r>
    </w:p>
    <w:p w14:paraId="472E3E8F">
      <w:pPr>
        <w:kinsoku/>
        <w:autoSpaceDE/>
        <w:autoSpaceDN/>
        <w:adjustRightInd/>
        <w:spacing w:after="0" w:line="360" w:lineRule="auto"/>
        <w:ind w:firstLine="480"/>
        <w:textAlignment w:val="auto"/>
        <w:rPr>
          <w:rFonts w:hint="eastAsia" w:ascii="宋体" w:hAnsi="宋体" w:eastAsia="宋体" w:cs="宋体"/>
          <w:snapToGrid/>
          <w:color w:val="auto"/>
          <w:sz w:val="24"/>
          <w:szCs w:val="24"/>
          <w:highlight w:val="none"/>
          <w:lang w:eastAsia="zh-CN"/>
        </w:rPr>
      </w:pPr>
      <w:r>
        <w:rPr>
          <w:rFonts w:ascii="宋体" w:hAnsi="宋体" w:eastAsia="宋体" w:cs="宋体"/>
          <w:snapToGrid/>
          <w:color w:val="auto"/>
          <w:sz w:val="24"/>
          <w:szCs w:val="24"/>
          <w:highlight w:val="none"/>
          <w:lang w:eastAsia="zh-CN"/>
        </w:rPr>
        <w:t>面向数据安全、网络安全、人工智能安全与隐私保护等需求，聚焦智能系统安全防护与可信数据应用核心，融合密码学、网络攻防、数据安全、隐私计算与人工智能安全技术，围绕数据安全治理、模型安全评估、隐私保护计算与安全风险防控等方向，针对数据泄露、模型攻击、隐私合规与系统可信等关键问题，研发安全防护、隐私保护、风险检测与可信智能应用等技术，培养具备信息安全分析、隐私保护设计、安全系统开发与工程实践能力的专业人才。</w:t>
      </w:r>
    </w:p>
    <w:p w14:paraId="44339152">
      <w:pPr>
        <w:pStyle w:val="3"/>
        <w:numPr>
          <w:ilvl w:val="0"/>
          <w:numId w:val="1"/>
        </w:numPr>
        <w:kinsoku/>
        <w:wordWrap w:val="0"/>
        <w:spacing w:after="0" w:line="360" w:lineRule="auto"/>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智能机器人及应用</w:t>
      </w:r>
    </w:p>
    <w:p w14:paraId="7319B8CF">
      <w:pPr>
        <w:kinsoku/>
        <w:autoSpaceDE/>
        <w:autoSpaceDN/>
        <w:adjustRightInd/>
        <w:spacing w:after="0" w:line="360" w:lineRule="auto"/>
        <w:ind w:firstLine="480"/>
        <w:textAlignment w:val="auto"/>
        <w:rPr>
          <w:rFonts w:ascii="宋体" w:hAnsi="宋体" w:eastAsia="宋体" w:cs="宋体"/>
          <w:snapToGrid/>
          <w:color w:val="auto"/>
          <w:sz w:val="24"/>
          <w:szCs w:val="24"/>
          <w:highlight w:val="none"/>
          <w:lang w:eastAsia="zh-CN"/>
        </w:rPr>
      </w:pPr>
      <w:r>
        <w:rPr>
          <w:rFonts w:ascii="宋体" w:hAnsi="宋体" w:eastAsia="宋体" w:cs="宋体"/>
          <w:snapToGrid/>
          <w:color w:val="auto"/>
          <w:sz w:val="24"/>
          <w:szCs w:val="24"/>
          <w:highlight w:val="none"/>
          <w:lang w:eastAsia="zh-CN"/>
        </w:rPr>
        <w:t>面向工业自动化、智能制造、特种作业、服务机器人等场景，聚焦智能机器人感知、决策、控制与协同作业技术，融合机器人学、人工智能、自动控制、计算机视觉与多传感器融合技术，围绕环境理解、运动规划、决策控制、人机交互与多机协同等方向，针对复杂环境下自主感知、动态规划、灵巧操作与协作效率提升等关键问题，研发自主导航、智能控制、群体协同与人机交互等技术，培养具备机器人系统设计、智能算法开发、工程集成与应用创新能力的专业人才</w:t>
      </w:r>
      <w:r>
        <w:rPr>
          <w:rFonts w:hint="eastAsia" w:ascii="宋体" w:hAnsi="宋体" w:eastAsia="宋体" w:cs="宋体"/>
          <w:snapToGrid/>
          <w:color w:val="auto"/>
          <w:sz w:val="24"/>
          <w:szCs w:val="24"/>
          <w:highlight w:val="none"/>
          <w:lang w:eastAsia="zh-CN"/>
        </w:rPr>
        <w:t>。</w:t>
      </w:r>
    </w:p>
    <w:p w14:paraId="020BD104">
      <w:pPr>
        <w:widowControl/>
        <w:snapToGrid w:val="0"/>
        <w:spacing w:before="156" w:beforeLines="50" w:after="156" w:afterLines="50" w:line="360" w:lineRule="auto"/>
        <w:ind w:firstLine="482"/>
        <w:jc w:val="left"/>
        <w:outlineLvl w:val="0"/>
        <w:rPr>
          <w:rFonts w:hint="eastAsia" w:ascii="宋体" w:hAnsi="宋体" w:cs="宋体"/>
          <w:b/>
          <w:color w:val="auto"/>
          <w:kern w:val="0"/>
          <w:sz w:val="24"/>
          <w:szCs w:val="24"/>
          <w:highlight w:val="none"/>
        </w:rPr>
      </w:pPr>
      <w:r>
        <w:rPr>
          <w:b/>
          <w:bCs/>
          <w:color w:val="auto"/>
          <w:spacing w:val="-8"/>
          <w:highlight w:val="none"/>
          <w:lang w:eastAsia="zh-CN"/>
        </w:rPr>
        <w:t>六、</w:t>
      </w:r>
      <w:r>
        <w:rPr>
          <w:rFonts w:ascii="宋体" w:hAnsi="宋体" w:cs="宋体"/>
          <w:b/>
          <w:color w:val="auto"/>
          <w:kern w:val="0"/>
          <w:sz w:val="24"/>
          <w:szCs w:val="24"/>
          <w:highlight w:val="none"/>
        </w:rPr>
        <w:t>课程</w:t>
      </w:r>
      <w:r>
        <w:rPr>
          <w:rFonts w:hint="eastAsia" w:ascii="宋体" w:hAnsi="宋体" w:cs="宋体"/>
          <w:b/>
          <w:color w:val="auto"/>
          <w:kern w:val="0"/>
          <w:sz w:val="24"/>
          <w:szCs w:val="24"/>
          <w:highlight w:val="none"/>
        </w:rPr>
        <w:t>设置与</w:t>
      </w:r>
      <w:r>
        <w:rPr>
          <w:rFonts w:ascii="宋体" w:hAnsi="宋体" w:cs="宋体"/>
          <w:b/>
          <w:color w:val="auto"/>
          <w:kern w:val="0"/>
          <w:sz w:val="24"/>
          <w:szCs w:val="24"/>
          <w:highlight w:val="none"/>
        </w:rPr>
        <w:t>学分要求</w:t>
      </w:r>
    </w:p>
    <w:p w14:paraId="24B1F5C8">
      <w:pPr>
        <w:kinsoku/>
        <w:autoSpaceDE/>
        <w:autoSpaceDN/>
        <w:adjustRightInd/>
        <w:spacing w:after="0" w:line="360" w:lineRule="auto"/>
        <w:ind w:firstLine="480"/>
        <w:textAlignment w:val="auto"/>
        <w:rPr>
          <w:rFonts w:hint="eastAsia"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总学分至少为33学分，包括理论课程学习27学分，实践教学学习6学分。（具体安排见表1）</w:t>
      </w:r>
    </w:p>
    <w:p w14:paraId="4D291844">
      <w:pPr>
        <w:kinsoku/>
        <w:autoSpaceDE/>
        <w:autoSpaceDN/>
        <w:adjustRightInd/>
        <w:spacing w:after="0" w:line="360" w:lineRule="auto"/>
        <w:ind w:firstLine="480"/>
        <w:textAlignment w:val="auto"/>
        <w:rPr>
          <w:rFonts w:hint="eastAsia"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研究生理论课程包括公共课、专</w:t>
      </w:r>
      <w:r>
        <w:rPr>
          <w:rFonts w:ascii="宋体" w:hAnsi="宋体" w:eastAsia="宋体" w:cs="宋体"/>
          <w:snapToGrid/>
          <w:color w:val="auto"/>
          <w:sz w:val="24"/>
          <w:szCs w:val="24"/>
          <w:highlight w:val="none"/>
          <w:lang w:eastAsia="zh-CN"/>
        </w:rPr>
        <w:t>业基础课、</w:t>
      </w:r>
      <w:r>
        <w:rPr>
          <w:rFonts w:hint="eastAsia" w:ascii="宋体" w:hAnsi="宋体" w:eastAsia="宋体" w:cs="宋体"/>
          <w:snapToGrid/>
          <w:color w:val="auto"/>
          <w:sz w:val="24"/>
          <w:szCs w:val="24"/>
          <w:highlight w:val="none"/>
          <w:lang w:eastAsia="zh-CN"/>
        </w:rPr>
        <w:t>专业必修课、专业选修课和人文与职业素养课程。其中公共课、专</w:t>
      </w:r>
      <w:r>
        <w:rPr>
          <w:rFonts w:ascii="宋体" w:hAnsi="宋体" w:eastAsia="宋体" w:cs="宋体"/>
          <w:snapToGrid/>
          <w:color w:val="auto"/>
          <w:sz w:val="24"/>
          <w:szCs w:val="24"/>
          <w:highlight w:val="none"/>
          <w:lang w:eastAsia="zh-CN"/>
        </w:rPr>
        <w:t>业基础课</w:t>
      </w:r>
      <w:r>
        <w:rPr>
          <w:rFonts w:hint="eastAsia" w:ascii="宋体" w:hAnsi="宋体" w:eastAsia="宋体" w:cs="宋体"/>
          <w:snapToGrid/>
          <w:color w:val="auto"/>
          <w:sz w:val="24"/>
          <w:szCs w:val="24"/>
          <w:highlight w:val="none"/>
          <w:lang w:eastAsia="zh-CN"/>
        </w:rPr>
        <w:t>必修课为19学分，专业选修课至少6学分，人文与职业素养课程至少2学分。</w:t>
      </w:r>
    </w:p>
    <w:p w14:paraId="3F4A1D35">
      <w:pPr>
        <w:widowControl/>
        <w:snapToGrid w:val="0"/>
        <w:spacing w:before="156" w:beforeLines="50" w:after="156" w:afterLines="50" w:line="360" w:lineRule="auto"/>
        <w:ind w:firstLine="482"/>
        <w:jc w:val="left"/>
        <w:outlineLvl w:val="0"/>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七、</w:t>
      </w:r>
      <w:r>
        <w:rPr>
          <w:rFonts w:ascii="宋体" w:hAnsi="宋体" w:cs="宋体"/>
          <w:b/>
          <w:color w:val="auto"/>
          <w:kern w:val="0"/>
          <w:sz w:val="24"/>
          <w:szCs w:val="24"/>
          <w:highlight w:val="none"/>
        </w:rPr>
        <w:t>实践</w:t>
      </w:r>
      <w:r>
        <w:rPr>
          <w:rFonts w:hint="eastAsia" w:ascii="宋体" w:hAnsi="宋体" w:cs="宋体"/>
          <w:b/>
          <w:color w:val="auto"/>
          <w:kern w:val="0"/>
          <w:sz w:val="24"/>
          <w:szCs w:val="24"/>
          <w:highlight w:val="none"/>
        </w:rPr>
        <w:t>教学</w:t>
      </w:r>
    </w:p>
    <w:p w14:paraId="54470158">
      <w:pPr>
        <w:kinsoku/>
        <w:autoSpaceDE/>
        <w:autoSpaceDN/>
        <w:adjustRightInd/>
        <w:spacing w:after="0" w:line="360" w:lineRule="auto"/>
        <w:ind w:firstLine="480"/>
        <w:textAlignment w:val="auto"/>
        <w:rPr>
          <w:rFonts w:hint="eastAsia"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实践教学可采取专业实践、创新创业竞赛、学术讲座、社会实践和海外交流等方式进行，集中实践与分段实践相结合。研究生必须完成的专业实践包括</w:t>
      </w:r>
      <w:r>
        <w:rPr>
          <w:rFonts w:hint="eastAsia" w:ascii="宋体" w:hAnsi="宋体" w:eastAsia="宋体" w:cs="宋体"/>
          <w:snapToGrid/>
          <w:color w:val="auto"/>
          <w:sz w:val="24"/>
          <w:szCs w:val="24"/>
          <w:highlight w:val="none"/>
          <w:lang w:val="en-US" w:eastAsia="zh-CN"/>
        </w:rPr>
        <w:t>企业</w:t>
      </w:r>
      <w:r>
        <w:rPr>
          <w:rFonts w:hint="eastAsia" w:ascii="宋体" w:hAnsi="宋体" w:eastAsia="宋体" w:cs="宋体"/>
          <w:snapToGrid/>
          <w:color w:val="auto"/>
          <w:sz w:val="24"/>
          <w:szCs w:val="24"/>
          <w:highlight w:val="none"/>
          <w:lang w:eastAsia="zh-CN"/>
        </w:rPr>
        <w:t>岗位实习和工程技术实践，并至少获得6学分视为实践教学通过。实践教学未通过，不得申请学位论文答辩。</w:t>
      </w:r>
    </w:p>
    <w:p w14:paraId="19DC07E2">
      <w:pPr>
        <w:kinsoku/>
        <w:autoSpaceDE/>
        <w:autoSpaceDN/>
        <w:adjustRightInd/>
        <w:spacing w:after="0" w:line="360" w:lineRule="auto"/>
        <w:ind w:firstLine="480"/>
        <w:textAlignment w:val="auto"/>
        <w:rPr>
          <w:rFonts w:hint="eastAsia" w:ascii="宋体" w:hAnsi="宋体" w:eastAsia="宋体" w:cs="宋体"/>
          <w:snapToGrid/>
          <w:color w:val="auto"/>
          <w:sz w:val="24"/>
          <w:szCs w:val="24"/>
          <w:highlight w:val="none"/>
          <w:lang w:eastAsia="zh-CN"/>
        </w:rPr>
      </w:pPr>
      <w:r>
        <w:rPr>
          <w:rFonts w:hint="eastAsia" w:ascii="宋体" w:hAnsi="宋体" w:eastAsia="宋体" w:cs="宋体"/>
          <w:snapToGrid/>
          <w:color w:val="auto"/>
          <w:sz w:val="24"/>
          <w:szCs w:val="24"/>
          <w:highlight w:val="none"/>
          <w:lang w:eastAsia="zh-CN"/>
        </w:rPr>
        <w:t>工程类硕士专业学位研究生专业实践时间为1年。</w:t>
      </w:r>
    </w:p>
    <w:p w14:paraId="703DDA65">
      <w:pPr>
        <w:widowControl/>
        <w:snapToGrid w:val="0"/>
        <w:spacing w:before="156" w:beforeLines="50" w:after="156" w:afterLines="50" w:line="360" w:lineRule="auto"/>
        <w:ind w:firstLine="482"/>
        <w:jc w:val="left"/>
        <w:outlineLvl w:val="0"/>
        <w:rPr>
          <w:rFonts w:hint="eastAsia" w:ascii="宋体" w:hAnsi="宋体" w:cs="宋体"/>
          <w:b/>
          <w:color w:val="auto"/>
          <w:kern w:val="0"/>
          <w:sz w:val="24"/>
          <w:szCs w:val="24"/>
          <w:highlight w:val="none"/>
          <w:lang w:eastAsia="zh-CN"/>
        </w:rPr>
      </w:pPr>
      <w:r>
        <w:rPr>
          <w:rFonts w:hint="eastAsia" w:ascii="宋体" w:hAnsi="宋体" w:cs="宋体"/>
          <w:b/>
          <w:color w:val="auto"/>
          <w:kern w:val="0"/>
          <w:sz w:val="24"/>
          <w:szCs w:val="24"/>
          <w:highlight w:val="none"/>
          <w:lang w:eastAsia="zh-CN"/>
        </w:rPr>
        <w:t>八、学位论文</w:t>
      </w:r>
    </w:p>
    <w:p w14:paraId="6887F578">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研究生必须在</w:t>
      </w:r>
      <w:r>
        <w:rPr>
          <w:rFonts w:hint="eastAsia" w:ascii="Times New Roman" w:hAnsi="Times New Roman" w:cs="Times New Roman"/>
          <w:color w:val="auto"/>
          <w:spacing w:val="-5"/>
          <w:highlight w:val="none"/>
          <w:lang w:eastAsia="zh-CN"/>
        </w:rPr>
        <w:t>校内外</w:t>
      </w:r>
      <w:r>
        <w:rPr>
          <w:rFonts w:ascii="Times New Roman" w:hAnsi="Times New Roman" w:cs="Times New Roman"/>
          <w:color w:val="auto"/>
          <w:spacing w:val="-5"/>
          <w:highlight w:val="none"/>
          <w:lang w:eastAsia="zh-CN"/>
        </w:rPr>
        <w:t>导师</w:t>
      </w:r>
      <w:r>
        <w:rPr>
          <w:rFonts w:hint="eastAsia" w:ascii="Times New Roman" w:hAnsi="Times New Roman" w:cs="Times New Roman"/>
          <w:color w:val="auto"/>
          <w:spacing w:val="-5"/>
          <w:highlight w:val="none"/>
          <w:lang w:eastAsia="zh-CN"/>
        </w:rPr>
        <w:t>联合</w:t>
      </w:r>
      <w:r>
        <w:rPr>
          <w:rFonts w:ascii="Times New Roman" w:hAnsi="Times New Roman" w:cs="Times New Roman"/>
          <w:color w:val="auto"/>
          <w:spacing w:val="-5"/>
          <w:highlight w:val="none"/>
          <w:lang w:eastAsia="zh-CN"/>
        </w:rPr>
        <w:t>指导下独立完成学位论文</w:t>
      </w:r>
      <w:r>
        <w:rPr>
          <w:rFonts w:hint="eastAsia" w:ascii="Times New Roman" w:hAnsi="Times New Roman" w:cs="Times New Roman"/>
          <w:color w:val="auto"/>
          <w:spacing w:val="-5"/>
          <w:highlight w:val="none"/>
          <w:lang w:eastAsia="zh-CN"/>
        </w:rPr>
        <w:t>，具备相应的技术要求和较充足的工作量，体现作者综合运用科学理论、方法和技术手段解决工程技术问题的能力。</w:t>
      </w:r>
      <w:r>
        <w:rPr>
          <w:rFonts w:ascii="Times New Roman" w:hAnsi="Times New Roman" w:cs="Times New Roman"/>
          <w:color w:val="auto"/>
          <w:spacing w:val="-5"/>
          <w:highlight w:val="none"/>
          <w:lang w:eastAsia="zh-CN"/>
        </w:rPr>
        <w:t>工作程序应包括开题报告、中期</w:t>
      </w:r>
      <w:r>
        <w:rPr>
          <w:rFonts w:hint="eastAsia" w:ascii="Times New Roman" w:hAnsi="Times New Roman" w:cs="Times New Roman"/>
          <w:color w:val="auto"/>
          <w:spacing w:val="-5"/>
          <w:highlight w:val="none"/>
          <w:lang w:eastAsia="zh-CN"/>
        </w:rPr>
        <w:t>检查</w:t>
      </w:r>
      <w:r>
        <w:rPr>
          <w:rFonts w:ascii="Times New Roman" w:hAnsi="Times New Roman" w:cs="Times New Roman"/>
          <w:color w:val="auto"/>
          <w:spacing w:val="-5"/>
          <w:highlight w:val="none"/>
          <w:lang w:eastAsia="zh-CN"/>
        </w:rPr>
        <w:t>及答辩等环节</w:t>
      </w:r>
      <w:r>
        <w:rPr>
          <w:rFonts w:hint="eastAsia" w:ascii="Times New Roman" w:hAnsi="Times New Roman" w:cs="Times New Roman"/>
          <w:color w:val="auto"/>
          <w:spacing w:val="-5"/>
          <w:highlight w:val="none"/>
          <w:lang w:eastAsia="zh-CN"/>
        </w:rPr>
        <w:t>，</w:t>
      </w:r>
      <w:r>
        <w:rPr>
          <w:rFonts w:ascii="Times New Roman" w:hAnsi="Times New Roman" w:cs="Times New Roman"/>
          <w:color w:val="auto"/>
          <w:spacing w:val="-5"/>
          <w:highlight w:val="none"/>
          <w:lang w:eastAsia="zh-CN"/>
        </w:rPr>
        <w:t>各环节均须导师签署书面意见。</w:t>
      </w:r>
    </w:p>
    <w:p w14:paraId="74E67F21">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（1）论文选题要求</w:t>
      </w:r>
    </w:p>
    <w:p w14:paraId="63C9880F">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选题直接来源于生产实际或具有明确的工程背景，要具有一定的理论深度和先进性，拟解决的问题要有一定的技术难度和工作量，其研究成果要有实际应用价值和较好的推广价值。</w:t>
      </w:r>
    </w:p>
    <w:p w14:paraId="39716BE6">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（2）论文形式及内容要求</w:t>
      </w:r>
    </w:p>
    <w:p w14:paraId="79192F88">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可以是研究类学位论文，如应用研究论文；也可以是设计类和产品开发类论文，如产品研发、工程设计等；还可以是软科学论文，如工程项目管理、调查研究报告。具体要求详见</w:t>
      </w:r>
      <w:r>
        <w:rPr>
          <w:rFonts w:hint="eastAsia" w:ascii="Times New Roman" w:hAnsi="Times New Roman" w:cs="Times New Roman"/>
          <w:color w:val="auto"/>
          <w:spacing w:val="-5"/>
          <w:highlight w:val="none"/>
          <w:lang w:eastAsia="zh-CN"/>
        </w:rPr>
        <w:t>计算机与信息工程学院研究生申请学位创新性研究成果具体标准及认定</w:t>
      </w:r>
      <w:r>
        <w:rPr>
          <w:rFonts w:ascii="Times New Roman" w:hAnsi="Times New Roman" w:cs="Times New Roman"/>
          <w:color w:val="auto"/>
          <w:spacing w:val="-5"/>
          <w:highlight w:val="none"/>
          <w:lang w:eastAsia="zh-CN"/>
        </w:rPr>
        <w:t>。</w:t>
      </w:r>
    </w:p>
    <w:p w14:paraId="3EC84FDE">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（3）论文规范要求</w:t>
      </w:r>
    </w:p>
    <w:p w14:paraId="58CE7E94">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条理清楚，用词准确，表述规范。学位论文一般由以下几个部分组成：封面、独创性声明、学位论文版权使用授权书、摘要（中、外文）、关键词、论文目录、正文、参考文献、发表文章和申请专利目录、致谢和必要的附录等。论文正文字数一般不少于 3 万字，具体撰写规范详见《上海第二工业大学研究生学位论文撰写规范》。</w:t>
      </w:r>
    </w:p>
    <w:p w14:paraId="755BEEB7">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（4）论文水平要求</w:t>
      </w:r>
    </w:p>
    <w:p w14:paraId="715D4C8B">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①</w:t>
      </w:r>
      <w:r>
        <w:rPr>
          <w:rFonts w:ascii="Times New Roman" w:hAnsi="Times New Roman" w:cs="Times New Roman"/>
          <w:color w:val="auto"/>
          <w:spacing w:val="-5"/>
          <w:highlight w:val="none"/>
          <w:lang w:eastAsia="zh-CN"/>
        </w:rPr>
        <w:t xml:space="preserve"> 论文工作有一定的技术难度和深度，论文成果具有一定的先进性和实用性，体现出作者的新思想、新见解。</w:t>
      </w:r>
    </w:p>
    <w:p w14:paraId="1FE4C99E">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②</w:t>
      </w:r>
      <w:r>
        <w:rPr>
          <w:rFonts w:ascii="Times New Roman" w:hAnsi="Times New Roman" w:cs="Times New Roman"/>
          <w:color w:val="auto"/>
          <w:spacing w:val="-5"/>
          <w:highlight w:val="none"/>
          <w:lang w:eastAsia="zh-CN"/>
        </w:rPr>
        <w:t xml:space="preserve"> 学位论文工作应在导师指导下独立完成，论文工作量饱满；实际工作 时间不得少于一年。</w:t>
      </w:r>
    </w:p>
    <w:p w14:paraId="11020BE2">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③</w:t>
      </w:r>
      <w:r>
        <w:rPr>
          <w:rFonts w:ascii="Times New Roman" w:hAnsi="Times New Roman" w:cs="Times New Roman"/>
          <w:color w:val="auto"/>
          <w:spacing w:val="-5"/>
          <w:highlight w:val="none"/>
          <w:lang w:eastAsia="zh-CN"/>
        </w:rPr>
        <w:t xml:space="preserve"> 学位论文中的文献综述应对选题所涉及的工程技术问题或研究课题的 国内外状况有清晰的描述与分析。</w:t>
      </w:r>
    </w:p>
    <w:p w14:paraId="232C6D46">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④</w:t>
      </w:r>
      <w:r>
        <w:rPr>
          <w:rFonts w:ascii="Times New Roman" w:hAnsi="Times New Roman" w:cs="Times New Roman"/>
          <w:color w:val="auto"/>
          <w:spacing w:val="-5"/>
          <w:highlight w:val="none"/>
          <w:lang w:eastAsia="zh-CN"/>
        </w:rPr>
        <w:t xml:space="preserve"> 学位论文的正文应综合应用基础理论、科学方法、专业知识和技术手段对所要解决的科研问题或工程实际问题进行分析研究，并能在某些方面提出独 立见解。</w:t>
      </w:r>
    </w:p>
    <w:p w14:paraId="328AC2C7">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⑤</w:t>
      </w:r>
      <w:r>
        <w:rPr>
          <w:rFonts w:ascii="Times New Roman" w:hAnsi="Times New Roman" w:cs="Times New Roman"/>
          <w:color w:val="auto"/>
          <w:spacing w:val="-5"/>
          <w:highlight w:val="none"/>
          <w:lang w:eastAsia="zh-CN"/>
        </w:rPr>
        <w:t xml:space="preserve"> 学位论文撰写要求概念清晰，逻辑严谨，结构合理，层次分明，文字通畅，图表清楚，数据可靠，计算正确，格式规范，引用他人文章应明确标注。</w:t>
      </w:r>
    </w:p>
    <w:p w14:paraId="786EA2CC">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（5）论文评阅</w:t>
      </w:r>
    </w:p>
    <w:p w14:paraId="2AECFD76">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学位论文必须经过导师评阅、学术不端相似度检测、双盲评审、同行学术评议等环节，符合条件者可申请学位论文答辩。</w:t>
      </w:r>
    </w:p>
    <w:p w14:paraId="140513A3">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（6）论文答辩</w:t>
      </w:r>
    </w:p>
    <w:p w14:paraId="7638FDDB">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提交论文答辩申请，</w:t>
      </w:r>
      <w:r>
        <w:rPr>
          <w:rFonts w:hint="eastAsia" w:ascii="Times New Roman" w:hAnsi="Times New Roman" w:cs="Times New Roman"/>
          <w:color w:val="auto"/>
          <w:spacing w:val="-5"/>
          <w:highlight w:val="none"/>
          <w:lang w:eastAsia="zh-CN"/>
        </w:rPr>
        <w:t>须满足《上海第二工业大学关于申请硕士学位创新性研究成果的规定》。</w:t>
      </w:r>
    </w:p>
    <w:p w14:paraId="77145304">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学位论文答辩委员会由</w:t>
      </w:r>
      <w:r>
        <w:rPr>
          <w:rFonts w:hint="eastAsia" w:ascii="Times New Roman" w:hAnsi="Times New Roman" w:cs="Times New Roman"/>
          <w:color w:val="auto"/>
          <w:spacing w:val="-5"/>
          <w:highlight w:val="none"/>
          <w:lang w:val="en-US" w:eastAsia="zh-CN"/>
        </w:rPr>
        <w:t>3-5</w:t>
      </w:r>
      <w:r>
        <w:rPr>
          <w:rFonts w:ascii="Times New Roman" w:hAnsi="Times New Roman" w:cs="Times New Roman"/>
          <w:color w:val="auto"/>
          <w:spacing w:val="-5"/>
          <w:highlight w:val="none"/>
          <w:lang w:eastAsia="zh-CN"/>
        </w:rPr>
        <w:t>名具有高级职称或相当专业技术职称的校内外专家组成，至少1位是校外专家。</w:t>
      </w:r>
    </w:p>
    <w:p w14:paraId="05A2B82A">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答辩委员会以无记名投票方式对是否通过论文答辩进行表决，经全体答辩委员三分之二以上（含三分之二）同意，方可通过，否则视为不通过。</w:t>
      </w:r>
    </w:p>
    <w:p w14:paraId="5AD46792">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论文答辩未通过者，学位论文工作需要进一步深化和完善，申请人可在论文修改后重新申请答辩。</w:t>
      </w:r>
    </w:p>
    <w:p w14:paraId="5BB9E925">
      <w:pPr>
        <w:keepNext w:val="0"/>
        <w:keepLines w:val="0"/>
        <w:pageBreakBefore w:val="0"/>
        <w:widowControl/>
        <w:numPr>
          <w:ilvl w:val="0"/>
          <w:numId w:val="2"/>
        </w:numPr>
        <w:kinsoku/>
        <w:overflowPunct/>
        <w:topLinePunct w:val="0"/>
        <w:autoSpaceDE/>
        <w:autoSpaceDN/>
        <w:bidi w:val="0"/>
        <w:adjustRightInd/>
        <w:snapToGrid w:val="0"/>
        <w:spacing w:line="360" w:lineRule="auto"/>
        <w:ind w:firstLine="480" w:firstLineChars="200"/>
        <w:jc w:val="left"/>
        <w:textAlignment w:val="auto"/>
        <w:outlineLvl w:val="0"/>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过程化管理与质量监控</w:t>
      </w:r>
    </w:p>
    <w:p w14:paraId="59B52BBB">
      <w:pPr>
        <w:pStyle w:val="3"/>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ascii="Times New Roman" w:hAnsi="Times New Roman" w:cs="Times New Roman"/>
          <w:color w:val="auto"/>
          <w:spacing w:val="-5"/>
          <w:highlight w:val="none"/>
          <w:lang w:eastAsia="zh-CN"/>
        </w:rPr>
        <w:t>按照全生命周期过程管理理念，加强研究生从课程学习、岗位实习、工程技术实践、论文开题、中期检查、毕业答辩进行过程控制、监控和管理，并对研究生就业质量进行调查。</w:t>
      </w:r>
    </w:p>
    <w:p w14:paraId="4441E07A">
      <w:pPr>
        <w:keepNext w:val="0"/>
        <w:keepLines w:val="0"/>
        <w:pageBreakBefore w:val="0"/>
        <w:widowControl/>
        <w:kinsoku/>
        <w:overflowPunct/>
        <w:topLinePunct w:val="0"/>
        <w:autoSpaceDE/>
        <w:autoSpaceDN/>
        <w:bidi w:val="0"/>
        <w:adjustRightInd/>
        <w:snapToGrid w:val="0"/>
        <w:spacing w:line="360" w:lineRule="auto"/>
        <w:ind w:firstLine="480" w:firstLineChars="200"/>
        <w:jc w:val="left"/>
        <w:textAlignment w:val="auto"/>
        <w:outlineLvl w:val="0"/>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十、毕</w:t>
      </w:r>
      <w:r>
        <w:rPr>
          <w:rFonts w:ascii="宋体" w:hAnsi="宋体" w:cs="宋体"/>
          <w:b/>
          <w:color w:val="auto"/>
          <w:kern w:val="0"/>
          <w:sz w:val="24"/>
          <w:szCs w:val="24"/>
          <w:highlight w:val="none"/>
        </w:rPr>
        <w:t>业与学位授予</w:t>
      </w:r>
    </w:p>
    <w:p w14:paraId="5C23FB44">
      <w:pPr>
        <w:pStyle w:val="3"/>
        <w:kinsoku/>
        <w:wordWrap w:val="0"/>
        <w:spacing w:after="0" w:line="360" w:lineRule="auto"/>
        <w:ind w:firstLine="460" w:firstLineChars="200"/>
        <w:jc w:val="both"/>
        <w:rPr>
          <w:rFonts w:hint="eastAsia" w:ascii="Times New Roman" w:hAnsi="Times New Roman" w:cs="Times New Roman"/>
          <w:color w:val="auto"/>
          <w:spacing w:val="-5"/>
          <w:highlight w:val="none"/>
          <w:lang w:eastAsia="zh-CN"/>
        </w:rPr>
      </w:pPr>
      <w:r>
        <w:rPr>
          <w:rFonts w:hint="eastAsia" w:ascii="Times New Roman" w:hAnsi="Times New Roman" w:cs="Times New Roman"/>
          <w:color w:val="auto"/>
          <w:spacing w:val="-5"/>
          <w:highlight w:val="none"/>
          <w:lang w:eastAsia="zh-CN"/>
        </w:rPr>
        <w:t>研究生在修业年限内完成培养方案规定的课程学习、实践教学学习、学位论文等培养环节，修满规定学分，并通过学位论文答辩，准予毕业并颁发研究生毕业证书；符合学位授予条件的，经校学位评定委员会审核通过，授予</w:t>
      </w:r>
      <w:r>
        <w:rPr>
          <w:rFonts w:hint="eastAsia" w:ascii="Times New Roman" w:hAnsi="Times New Roman" w:cs="Times New Roman"/>
          <w:color w:val="auto"/>
          <w:spacing w:val="-5"/>
          <w:highlight w:val="none"/>
          <w:lang w:val="en-US" w:eastAsia="zh-CN"/>
        </w:rPr>
        <w:t>电子信息</w:t>
      </w:r>
      <w:r>
        <w:rPr>
          <w:rFonts w:hint="eastAsia" w:ascii="Times New Roman" w:hAnsi="Times New Roman" w:cs="Times New Roman"/>
          <w:color w:val="auto"/>
          <w:spacing w:val="-5"/>
          <w:highlight w:val="none"/>
          <w:lang w:eastAsia="zh-CN"/>
        </w:rPr>
        <w:t>硕士专业学位。未达到毕业要求的，按学校相关规定执行。</w:t>
      </w:r>
    </w:p>
    <w:p w14:paraId="0E8C23D5">
      <w:pPr>
        <w:pStyle w:val="3"/>
        <w:spacing w:before="30" w:line="254" w:lineRule="auto"/>
        <w:ind w:right="168"/>
        <w:rPr>
          <w:rFonts w:hint="eastAsia"/>
          <w:color w:val="auto"/>
          <w:sz w:val="20"/>
          <w:szCs w:val="20"/>
          <w:highlight w:val="none"/>
          <w:lang w:eastAsia="zh-CN"/>
        </w:rPr>
      </w:pPr>
    </w:p>
    <w:sectPr>
      <w:footerReference r:id="rId4" w:type="default"/>
      <w:pgSz w:w="11906" w:h="16839"/>
      <w:pgMar w:top="1431" w:right="1539" w:bottom="1362" w:left="1785" w:header="0" w:footer="120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283EC">
    <w:pPr>
      <w:spacing w:line="176" w:lineRule="auto"/>
      <w:ind w:left="4133"/>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BC78A9"/>
    <w:multiLevelType w:val="singleLevel"/>
    <w:tmpl w:val="EEBC78A9"/>
    <w:lvl w:ilvl="0" w:tentative="0">
      <w:start w:val="9"/>
      <w:numFmt w:val="chineseCounting"/>
      <w:suff w:val="nothing"/>
      <w:lvlText w:val="%1、"/>
      <w:lvlJc w:val="left"/>
      <w:rPr>
        <w:rFonts w:hint="eastAsia"/>
      </w:rPr>
    </w:lvl>
  </w:abstractNum>
  <w:abstractNum w:abstractNumId="1">
    <w:nsid w:val="535247B4"/>
    <w:multiLevelType w:val="multilevel"/>
    <w:tmpl w:val="535247B4"/>
    <w:lvl w:ilvl="0" w:tentative="0">
      <w:start w:val="1"/>
      <w:numFmt w:val="decimal"/>
      <w:lvlText w:val="%1."/>
      <w:lvlJc w:val="left"/>
      <w:pPr>
        <w:ind w:left="820" w:hanging="360"/>
      </w:pPr>
      <w:rPr>
        <w:rFonts w:hint="default"/>
      </w:rPr>
    </w:lvl>
    <w:lvl w:ilvl="1" w:tentative="0">
      <w:start w:val="1"/>
      <w:numFmt w:val="lowerLetter"/>
      <w:lvlText w:val="%2)"/>
      <w:lvlJc w:val="left"/>
      <w:pPr>
        <w:ind w:left="1340" w:hanging="440"/>
      </w:pPr>
    </w:lvl>
    <w:lvl w:ilvl="2" w:tentative="0">
      <w:start w:val="1"/>
      <w:numFmt w:val="lowerRoman"/>
      <w:lvlText w:val="%3."/>
      <w:lvlJc w:val="right"/>
      <w:pPr>
        <w:ind w:left="1780" w:hanging="440"/>
      </w:pPr>
    </w:lvl>
    <w:lvl w:ilvl="3" w:tentative="0">
      <w:start w:val="1"/>
      <w:numFmt w:val="decimal"/>
      <w:lvlText w:val="%4."/>
      <w:lvlJc w:val="left"/>
      <w:pPr>
        <w:ind w:left="2220" w:hanging="440"/>
      </w:pPr>
    </w:lvl>
    <w:lvl w:ilvl="4" w:tentative="0">
      <w:start w:val="1"/>
      <w:numFmt w:val="lowerLetter"/>
      <w:lvlText w:val="%5)"/>
      <w:lvlJc w:val="left"/>
      <w:pPr>
        <w:ind w:left="2660" w:hanging="440"/>
      </w:pPr>
    </w:lvl>
    <w:lvl w:ilvl="5" w:tentative="0">
      <w:start w:val="1"/>
      <w:numFmt w:val="lowerRoman"/>
      <w:lvlText w:val="%6."/>
      <w:lvlJc w:val="right"/>
      <w:pPr>
        <w:ind w:left="3100" w:hanging="440"/>
      </w:pPr>
    </w:lvl>
    <w:lvl w:ilvl="6" w:tentative="0">
      <w:start w:val="1"/>
      <w:numFmt w:val="decimal"/>
      <w:lvlText w:val="%7."/>
      <w:lvlJc w:val="left"/>
      <w:pPr>
        <w:ind w:left="3540" w:hanging="440"/>
      </w:pPr>
    </w:lvl>
    <w:lvl w:ilvl="7" w:tentative="0">
      <w:start w:val="1"/>
      <w:numFmt w:val="lowerLetter"/>
      <w:lvlText w:val="%8)"/>
      <w:lvlJc w:val="left"/>
      <w:pPr>
        <w:ind w:left="3980" w:hanging="440"/>
      </w:pPr>
    </w:lvl>
    <w:lvl w:ilvl="8" w:tentative="0">
      <w:start w:val="1"/>
      <w:numFmt w:val="lowerRoman"/>
      <w:lvlText w:val="%9."/>
      <w:lvlJc w:val="right"/>
      <w:pPr>
        <w:ind w:left="442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documentProtection w:enforcement="0"/>
  <w:defaultTabStop w:val="420"/>
  <w:displayHorizontalDrawingGridEvery w:val="0"/>
  <w:displayVerticalDrawingGridEvery w:val="2"/>
  <w:characterSpacingControl w:val="doNotCompress"/>
  <w:footnotePr>
    <w:footnote w:id="0"/>
    <w:footnote w:id="1"/>
  </w:foot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RiNDQzZTQ0YzkzODFlMDJhYzM3MTBmZGUxMDk4YzMifQ=="/>
  </w:docVars>
  <w:rsids>
    <w:rsidRoot w:val="00EF0A90"/>
    <w:rsid w:val="0006386A"/>
    <w:rsid w:val="00083063"/>
    <w:rsid w:val="000A6C7E"/>
    <w:rsid w:val="000B5F8C"/>
    <w:rsid w:val="000B6625"/>
    <w:rsid w:val="000D020C"/>
    <w:rsid w:val="00101018"/>
    <w:rsid w:val="00104361"/>
    <w:rsid w:val="00110A67"/>
    <w:rsid w:val="00111E3E"/>
    <w:rsid w:val="00121D2D"/>
    <w:rsid w:val="001231DC"/>
    <w:rsid w:val="00145CD7"/>
    <w:rsid w:val="00164C62"/>
    <w:rsid w:val="001B0964"/>
    <w:rsid w:val="001B3874"/>
    <w:rsid w:val="001B65B3"/>
    <w:rsid w:val="001D24D5"/>
    <w:rsid w:val="00210CB1"/>
    <w:rsid w:val="002258F2"/>
    <w:rsid w:val="00265E98"/>
    <w:rsid w:val="00287A0A"/>
    <w:rsid w:val="002E2654"/>
    <w:rsid w:val="002F4AFC"/>
    <w:rsid w:val="003239F4"/>
    <w:rsid w:val="00342DF1"/>
    <w:rsid w:val="003955AC"/>
    <w:rsid w:val="003B30B9"/>
    <w:rsid w:val="003B7888"/>
    <w:rsid w:val="0041124D"/>
    <w:rsid w:val="0042364C"/>
    <w:rsid w:val="00447058"/>
    <w:rsid w:val="00463FC4"/>
    <w:rsid w:val="004800D0"/>
    <w:rsid w:val="004F6060"/>
    <w:rsid w:val="0054085D"/>
    <w:rsid w:val="005529D8"/>
    <w:rsid w:val="005739B6"/>
    <w:rsid w:val="0058191E"/>
    <w:rsid w:val="005C365E"/>
    <w:rsid w:val="005D60D4"/>
    <w:rsid w:val="005F51D2"/>
    <w:rsid w:val="0063045C"/>
    <w:rsid w:val="0069069C"/>
    <w:rsid w:val="00707A0C"/>
    <w:rsid w:val="007575E4"/>
    <w:rsid w:val="00772C80"/>
    <w:rsid w:val="00782B70"/>
    <w:rsid w:val="00792ED4"/>
    <w:rsid w:val="0079687B"/>
    <w:rsid w:val="007A6B8D"/>
    <w:rsid w:val="007B51D5"/>
    <w:rsid w:val="007C50E5"/>
    <w:rsid w:val="007D0CBC"/>
    <w:rsid w:val="00805F68"/>
    <w:rsid w:val="0080789F"/>
    <w:rsid w:val="008450C8"/>
    <w:rsid w:val="0087220D"/>
    <w:rsid w:val="00873C09"/>
    <w:rsid w:val="00885F61"/>
    <w:rsid w:val="00893F06"/>
    <w:rsid w:val="008C1B10"/>
    <w:rsid w:val="008C660C"/>
    <w:rsid w:val="008D011F"/>
    <w:rsid w:val="008D52B2"/>
    <w:rsid w:val="0095675B"/>
    <w:rsid w:val="00974293"/>
    <w:rsid w:val="00984139"/>
    <w:rsid w:val="009A384F"/>
    <w:rsid w:val="009A5F73"/>
    <w:rsid w:val="009C6C99"/>
    <w:rsid w:val="009D4B7B"/>
    <w:rsid w:val="00A31B23"/>
    <w:rsid w:val="00A3410E"/>
    <w:rsid w:val="00A47539"/>
    <w:rsid w:val="00A548C9"/>
    <w:rsid w:val="00A7285E"/>
    <w:rsid w:val="00A86933"/>
    <w:rsid w:val="00AC4B85"/>
    <w:rsid w:val="00AC7627"/>
    <w:rsid w:val="00B20D25"/>
    <w:rsid w:val="00B26D36"/>
    <w:rsid w:val="00B4397B"/>
    <w:rsid w:val="00B912E3"/>
    <w:rsid w:val="00BA405C"/>
    <w:rsid w:val="00BB5961"/>
    <w:rsid w:val="00BC575C"/>
    <w:rsid w:val="00C150CF"/>
    <w:rsid w:val="00C20351"/>
    <w:rsid w:val="00C257F5"/>
    <w:rsid w:val="00C406E4"/>
    <w:rsid w:val="00C55A5F"/>
    <w:rsid w:val="00C57585"/>
    <w:rsid w:val="00C60536"/>
    <w:rsid w:val="00C60900"/>
    <w:rsid w:val="00CC0F8B"/>
    <w:rsid w:val="00D24411"/>
    <w:rsid w:val="00D5318E"/>
    <w:rsid w:val="00D72396"/>
    <w:rsid w:val="00D83052"/>
    <w:rsid w:val="00D927E4"/>
    <w:rsid w:val="00DA67C7"/>
    <w:rsid w:val="00DC7843"/>
    <w:rsid w:val="00DF7FD0"/>
    <w:rsid w:val="00E10CBF"/>
    <w:rsid w:val="00E2508D"/>
    <w:rsid w:val="00E34D03"/>
    <w:rsid w:val="00E654C9"/>
    <w:rsid w:val="00EA4036"/>
    <w:rsid w:val="00EA6511"/>
    <w:rsid w:val="00EF0A90"/>
    <w:rsid w:val="00F2430C"/>
    <w:rsid w:val="00F92D2D"/>
    <w:rsid w:val="04EE5B08"/>
    <w:rsid w:val="07F51BB5"/>
    <w:rsid w:val="08D6430E"/>
    <w:rsid w:val="0A03356F"/>
    <w:rsid w:val="102A6BEF"/>
    <w:rsid w:val="127E59DC"/>
    <w:rsid w:val="157F4ED0"/>
    <w:rsid w:val="1EDB2E6A"/>
    <w:rsid w:val="2A31201A"/>
    <w:rsid w:val="2A5C1DA0"/>
    <w:rsid w:val="2A6D3677"/>
    <w:rsid w:val="2B2A5452"/>
    <w:rsid w:val="2BA70CA4"/>
    <w:rsid w:val="39772A69"/>
    <w:rsid w:val="418D5A83"/>
    <w:rsid w:val="41E0385D"/>
    <w:rsid w:val="43DB72E5"/>
    <w:rsid w:val="45D33E85"/>
    <w:rsid w:val="47150D60"/>
    <w:rsid w:val="494F3F4D"/>
    <w:rsid w:val="4A62606A"/>
    <w:rsid w:val="4BCD6496"/>
    <w:rsid w:val="54156ACF"/>
    <w:rsid w:val="564B677F"/>
    <w:rsid w:val="57D95558"/>
    <w:rsid w:val="5E560913"/>
    <w:rsid w:val="620852F1"/>
    <w:rsid w:val="63051831"/>
    <w:rsid w:val="64B1461A"/>
    <w:rsid w:val="6502427A"/>
    <w:rsid w:val="67146B4F"/>
    <w:rsid w:val="6B553A5F"/>
    <w:rsid w:val="6D8F0931"/>
    <w:rsid w:val="70C935FC"/>
    <w:rsid w:val="724959ED"/>
    <w:rsid w:val="78797912"/>
    <w:rsid w:val="7A09263F"/>
    <w:rsid w:val="7CFA0081"/>
    <w:rsid w:val="7E896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160"/>
      <w:textAlignment w:val="baseline"/>
    </w:pPr>
    <w:rPr>
      <w:rFonts w:ascii="Arial" w:hAnsi="Arial" w:cs="Arial" w:eastAsiaTheme="minorEastAsia"/>
      <w:snapToGrid w:val="0"/>
      <w:color w:val="000000"/>
      <w:sz w:val="21"/>
      <w:szCs w:val="21"/>
      <w:lang w:val="en-US" w:eastAsia="en-US"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4"/>
    <w:semiHidden/>
    <w:qFormat/>
    <w:uiPriority w:val="0"/>
    <w:pPr>
      <w:widowControl w:val="0"/>
      <w:shd w:val="clear" w:color="auto" w:fill="000080"/>
      <w:kinsoku/>
      <w:autoSpaceDE/>
      <w:autoSpaceDN/>
      <w:adjustRightInd/>
      <w:snapToGrid/>
      <w:spacing w:after="0"/>
      <w:jc w:val="both"/>
      <w:textAlignment w:val="auto"/>
    </w:pPr>
    <w:rPr>
      <w:rFonts w:ascii="Times New Roman" w:hAnsi="Times New Roman" w:eastAsia="宋体" w:cs="Times New Roman"/>
      <w:snapToGrid/>
      <w:color w:val="auto"/>
      <w:kern w:val="2"/>
      <w:szCs w:val="22"/>
      <w:lang w:eastAsia="zh-CN"/>
    </w:rPr>
  </w:style>
  <w:style w:type="paragraph" w:styleId="3">
    <w:name w:val="Body Text"/>
    <w:basedOn w:val="1"/>
    <w:semiHidden/>
    <w:qFormat/>
    <w:uiPriority w:val="0"/>
    <w:rPr>
      <w:rFonts w:ascii="宋体" w:hAnsi="宋体" w:eastAsia="宋体" w:cs="宋体"/>
      <w:sz w:val="24"/>
      <w:szCs w:val="24"/>
    </w:rPr>
  </w:style>
  <w:style w:type="paragraph" w:styleId="4">
    <w:name w:val="footer"/>
    <w:basedOn w:val="1"/>
    <w:link w:val="12"/>
    <w:unhideWhenUsed/>
    <w:qFormat/>
    <w:uiPriority w:val="99"/>
    <w:pPr>
      <w:tabs>
        <w:tab w:val="center" w:pos="4153"/>
        <w:tab w:val="right" w:pos="8306"/>
      </w:tabs>
    </w:pPr>
    <w:rPr>
      <w:sz w:val="18"/>
      <w:szCs w:val="18"/>
    </w:rPr>
  </w:style>
  <w:style w:type="paragraph" w:styleId="5">
    <w:name w:val="header"/>
    <w:basedOn w:val="1"/>
    <w:link w:val="11"/>
    <w:unhideWhenUsed/>
    <w:qFormat/>
    <w:uiPriority w:val="99"/>
    <w:pPr>
      <w:tabs>
        <w:tab w:val="center" w:pos="4153"/>
        <w:tab w:val="right" w:pos="8306"/>
      </w:tabs>
      <w:jc w:val="center"/>
    </w:pPr>
    <w:rPr>
      <w:sz w:val="18"/>
      <w:szCs w:val="18"/>
    </w:rPr>
  </w:style>
  <w:style w:type="character" w:styleId="8">
    <w:name w:val="Strong"/>
    <w:basedOn w:val="7"/>
    <w:qFormat/>
    <w:uiPriority w:val="22"/>
    <w:rPr>
      <w:b/>
      <w:bCs/>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eastAsia="Arial"/>
    </w:rPr>
  </w:style>
  <w:style w:type="character" w:customStyle="1" w:styleId="11">
    <w:name w:val="页眉 字符"/>
    <w:basedOn w:val="7"/>
    <w:link w:val="5"/>
    <w:qFormat/>
    <w:uiPriority w:val="99"/>
    <w:rPr>
      <w:sz w:val="18"/>
      <w:szCs w:val="18"/>
    </w:rPr>
  </w:style>
  <w:style w:type="character" w:customStyle="1" w:styleId="12">
    <w:name w:val="页脚 字符"/>
    <w:basedOn w:val="7"/>
    <w:link w:val="4"/>
    <w:qFormat/>
    <w:uiPriority w:val="99"/>
    <w:rPr>
      <w:sz w:val="18"/>
      <w:szCs w:val="18"/>
    </w:rPr>
  </w:style>
  <w:style w:type="paragraph" w:styleId="13">
    <w:name w:val="List Paragraph"/>
    <w:basedOn w:val="1"/>
    <w:qFormat/>
    <w:uiPriority w:val="34"/>
    <w:pPr>
      <w:kinsoku/>
      <w:autoSpaceDE/>
      <w:autoSpaceDN/>
      <w:adjustRightInd/>
      <w:snapToGrid/>
      <w:spacing w:after="0"/>
      <w:ind w:left="720"/>
      <w:contextualSpacing/>
      <w:textAlignment w:val="auto"/>
    </w:pPr>
    <w:rPr>
      <w:rFonts w:ascii="宋体" w:hAnsi="宋体" w:eastAsia="宋体" w:cs="宋体"/>
      <w:snapToGrid/>
      <w:color w:val="auto"/>
      <w:sz w:val="24"/>
      <w:szCs w:val="24"/>
      <w:lang w:eastAsia="zh-CN"/>
    </w:rPr>
  </w:style>
  <w:style w:type="character" w:customStyle="1" w:styleId="14">
    <w:name w:val="文档结构图 字符"/>
    <w:basedOn w:val="7"/>
    <w:link w:val="2"/>
    <w:semiHidden/>
    <w:qFormat/>
    <w:uiPriority w:val="0"/>
    <w:rPr>
      <w:kern w:val="2"/>
      <w:sz w:val="21"/>
      <w:szCs w:val="22"/>
      <w:shd w:val="clear" w:color="auto" w:fill="00008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718634d6-3770-48c9-8555-8b5594d26768</errorID>
      <errorWord>(085410)</errorWord>
      <group>L1_AI</group>
      <groupName>深度校对</groupName>
      <ability>L2_AI_Punc</ability>
      <abilityName>标点纠错</abilityName>
      <candidateList>
        <item>（085410）</item>
      </candidateList>
      <explain/>
      <paraID>19F13BAC</paraID>
      <start>18</start>
      <end>26</end>
      <status>modified</status>
      <modifiedWord>（085410）</modifiedWord>
      <trackRevisions>false</trackRevisions>
    </reviewItem>
    <reviewItem>
      <errorID>7e40a17f-fe55-4b38-87c1-05d0ccfd54e9</errorID>
      <errorWord>新兴学科</errorWord>
      <group>L1_AI</group>
      <groupName>深度校对</groupName>
      <ability>L2_AI_Word</ability>
      <abilityName>字词纠错</abilityName>
      <candidateList>
        <item>新兴领域</item>
      </candidateList>
      <explain/>
      <paraID>19F13BAC</paraID>
      <start>35</start>
      <end>39</end>
      <status>ignored</status>
      <modifiedWord/>
      <trackRevisions>false</trackRevisions>
    </reviewItem>
    <reviewItem>
      <errorID>2340fc82-f01f-4487-860c-ebc913408935</errorID>
      <errorWord>(</errorWord>
      <group>L1_Format</group>
      <groupName>格式问题</groupName>
      <ability>L2_HalfPunc</ability>
      <abilityName>全半角检查</abilityName>
      <candidateList>
        <item>（</item>
      </candidateList>
      <explain>文本全半角错误。</explain>
      <paraID>19F13BAC</paraID>
      <start>138</start>
      <end>139</end>
      <status>modified</status>
      <modifiedWord>（</modifiedWord>
      <trackRevisions>false</trackRevisions>
    </reviewItem>
    <reviewItem>
      <errorID>e6a21a39-cdc2-4013-a4bc-03c4dd209b8e</errorID>
      <errorWord>)</errorWord>
      <group>L1_Format</group>
      <groupName>格式问题</groupName>
      <ability>L2_HalfPunc</ability>
      <abilityName>全半角检查</abilityName>
      <candidateList>
        <item>）</item>
      </candidateList>
      <explain>文本全半角错误。</explain>
      <paraID>19F13BAC</paraID>
      <start>150</start>
      <end>151</end>
      <status>modified</status>
      <modifiedWord>）</modifiedWord>
      <trackRevisions>false</trackRevisions>
    </reviewItem>
    <reviewItem>
      <errorID>6ff0c378-7f88-421b-ad41-1e9994aeca22</errorID>
      <errorWord>、</errorWord>
      <group>L1_AI</group>
      <groupName>深度校对</groupName>
      <ability>L2_AI_Punc</ability>
      <abilityName>标点纠错</abilityName>
      <candidateList>
        <item>，</item>
      </candidateList>
      <explain/>
      <paraID>52CD6A7E</paraID>
      <start>42</start>
      <end>43</end>
      <status>ignored</status>
      <modifiedWord/>
      <trackRevisions>false</trackRevisions>
    </reviewItem>
    <reviewItem>
      <errorID>a51d244e-741f-465d-b21a-dab076773bb4</errorID>
      <errorWord>、</errorWord>
      <group>L1_AI</group>
      <groupName>深度校对</groupName>
      <ability>L2_AI_Punc</ability>
      <abilityName>标点纠错</abilityName>
      <candidateList>
        <item>，</item>
      </candidateList>
      <explain/>
      <paraID>52CD6A7E</paraID>
      <start>70</start>
      <end>71</end>
      <status>ignored</status>
      <modifiedWord/>
      <trackRevisions>false</trackRevisions>
    </reviewItem>
    <reviewItem>
      <errorID>2da7a096-854b-403d-86b3-355d8b97d748</errorID>
      <errorWord>；并</errorWord>
      <group>L1_AI</group>
      <groupName>深度校对</groupName>
      <ability>L2_AI_Word</ability>
      <abilityName>字词纠错</abilityName>
      <candidateList>
        <item>，</item>
      </candidateList>
      <explain/>
      <paraID>755F950E</paraID>
      <start>26</start>
      <end>28</end>
      <status>ignored</status>
      <modifiedWord/>
      <trackRevisions>false</trackRevisions>
    </reviewItem>
    <reviewItem>
      <errorID>485b7e04-2f98-4227-bf47-f14ab27b6bbb</errorID>
      <errorWord>基础课必修课</errorWord>
      <group>L1_AI</group>
      <groupName>深度校对</groupName>
      <ability>L2_AI_Grammar</ability>
      <abilityName>语法纠错</abilityName>
      <candidateList>
        <item>基础课</item>
      </candidateList>
      <explain/>
      <paraID>4D291844</paraID>
      <start>49</start>
      <end>55</end>
      <status>ignored</status>
      <modifiedWord/>
      <trackRevisions>false</trackRevisions>
    </reviewItem>
    <reviewItem>
      <errorID>15312351-5b32-414d-8369-7f172603ffcc</errorID>
      <errorWord>研究生从</errorWord>
      <group>L1_Word</group>
      <groupName>字词问题</groupName>
      <ability>L2_Typo</ability>
      <abilityName>字词错误</abilityName>
      <candidateList>
        <item>研究生</item>
      </candidateList>
      <explain/>
      <paraID>59B52BBB</paraID>
      <start>16</start>
      <end>20</end>
      <status>ignored</status>
      <modifiedWord/>
      <trackRevisions>false</trackRevisions>
    </reviewItem>
    <reviewItem>
      <errorID>d1c4ecae-4501-4409-8863-419a3391b5b6</errorID>
      <errorWord>，</errorWord>
      <group>L1_AI</group>
      <groupName>深度校对</groupName>
      <ability>L2_AI_Punc</ability>
      <abilityName>标点纠错</abilityName>
      <candidateList>
        <item>、</item>
      </candidateList>
      <explain/>
      <paraID>59B52BBB</paraID>
      <start>24</start>
      <end>25</end>
      <status>modified</status>
      <modifiedWord>、</modifiedWord>
      <trackRevisions>false</trackRevisions>
    </reviewItem>
    <reviewItem>
      <errorID>6515abf4-85d8-4315-a226-15189322bd67</errorID>
      <errorWord>，</errorWord>
      <group>L1_AI</group>
      <groupName>深度校对</groupName>
      <ability>L2_AI_Punc</ability>
      <abilityName>标点纠错</abilityName>
      <candidateList>
        <item>、</item>
      </candidateList>
      <explain/>
      <paraID>59B52BBB</paraID>
      <start>36</start>
      <end>37</end>
      <status>modified</status>
      <modifiedWord>、</modifiedWord>
      <trackRevisions>false</trackRevisions>
    </reviewItem>
    <reviewItem>
      <errorID>bbb3f056-2260-4a49-b5c8-8de14e421759</errorID>
      <errorWord>、</errorWord>
      <group>L1_AI</group>
      <groupName>深度校对</groupName>
      <ability>L2_AI_Word</ability>
      <abilityName>字词纠错</abilityName>
      <candidateList>
        <item>到</item>
      </candidateList>
      <explain/>
      <paraID>59B52BBB</paraID>
      <start>46</start>
      <end>47</end>
      <status>ignored</status>
      <modifiedWord/>
      <trackRevisions>false</trackRevisions>
    </reviewItem>
    <reviewItem>
      <errorID>9904e5de-b4fb-4dbe-b5b3-a696ce0398b9</errorID>
      <errorWord>进行</errorWord>
      <group>L1_AI</group>
      <groupName>深度校对</groupName>
      <ability>L2_AI_Word</ability>
      <abilityName>字词纠错</abilityName>
      <candidateList>
        <item>的</item>
      </candidateList>
      <explain/>
      <paraID>59B52BBB</paraID>
      <start>51</start>
      <end>53</end>
      <status>ignored</status>
      <modifiedWord/>
      <trackRevisions>false</trackRevisions>
    </reviewItem>
  </reviewItems>
  <config/>
</contractReview>
</file>

<file path=customXml/itemProps1.xml><?xml version="1.0" encoding="utf-8"?>
<ds:datastoreItem xmlns:ds="http://schemas.openxmlformats.org/officeDocument/2006/customXml" ds:itemID="{7a6309dd-e210-4cb8-854b-19f63286b826}">
  <ds:schemaRefs/>
</ds:datastoreItem>
</file>

<file path=docProps/app.xml><?xml version="1.0" encoding="utf-8"?>
<Properties xmlns="http://schemas.openxmlformats.org/officeDocument/2006/extended-properties" xmlns:vt="http://schemas.openxmlformats.org/officeDocument/2006/docPropsVTypes">
  <Template>Normal</Template>
  <Pages>6</Pages>
  <Words>3728</Words>
  <Characters>3769</Characters>
  <Lines>36</Lines>
  <Paragraphs>10</Paragraphs>
  <TotalTime>1</TotalTime>
  <ScaleCrop>false</ScaleCrop>
  <LinksUpToDate>false</LinksUpToDate>
  <CharactersWithSpaces>3787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2026-05-15T08:17:00Z</dcterms:created>
  <dc:creator>gao</dc:creator>
  <cp:lastModifiedBy>朱丹丽</cp:lastModifiedBy>
  <dcterms:modified xsi:type="dcterms:W3CDTF">2026-06-18T02:26:52Z</dcterms:modified>
  <dc:title>上海第二工业大学环境工程硕士专业学位研究生培养方案</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2025-10-23T15:00:15Z</vt:filetime>
  </property>
  <property fmtid="{D5CDD505-2E9C-101B-9397-08002B2CF9AE}" pid="4" name="KSOTemplateDocerSaveRecord">
    <vt:lpwstr>eyJoZGlkIjoiNmZjNWY3NjIxNGJlNjlhNWRlYmVmMTA4NTM1NzU5YzMiLCJ1c2VySWQiOiIyNDg5MTY0NjYifQ==</vt:lpwstr>
  </property>
  <property fmtid="{D5CDD505-2E9C-101B-9397-08002B2CF9AE}" pid="5" name="KSOProductBuildVer">
    <vt:lpwstr>2052-12.1.0.23542</vt:lpwstr>
  </property>
  <property fmtid="{D5CDD505-2E9C-101B-9397-08002B2CF9AE}" pid="6" name="ICV">
    <vt:lpwstr>07CDE33024934057B852D87FF4DDC27A_13</vt:lpwstr>
  </property>
</Properties>
</file>