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DE3C7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30"/>
          <w:szCs w:val="30"/>
          <w:lang w:val="en-US" w:eastAsia="zh-CN"/>
        </w:rPr>
      </w:pPr>
      <w:r>
        <w:rPr>
          <w:rFonts w:hint="eastAsia"/>
          <w:sz w:val="30"/>
          <w:szCs w:val="30"/>
          <w:lang w:val="en-US" w:eastAsia="zh-CN"/>
        </w:rPr>
        <w:t>上海第二工业大学</w:t>
      </w:r>
    </w:p>
    <w:p w14:paraId="5E11001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30"/>
          <w:szCs w:val="30"/>
          <w:lang w:val="en-US" w:eastAsia="zh-CN"/>
        </w:rPr>
      </w:pPr>
      <w:r>
        <w:rPr>
          <w:rFonts w:hint="eastAsia"/>
          <w:sz w:val="30"/>
          <w:szCs w:val="30"/>
          <w:lang w:val="en-US" w:eastAsia="zh-CN"/>
        </w:rPr>
        <w:t>硕士研究生学位论文中期检查及学业中期考核工作实施流程</w:t>
      </w:r>
    </w:p>
    <w:p w14:paraId="00AAB1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研究生中期考核包含研究生学位论文中期检查和学业中期考核两部分，通常导师组织一次中期考核答</w:t>
      </w:r>
      <w:bookmarkStart w:id="0" w:name="_GoBack"/>
      <w:bookmarkEnd w:id="0"/>
      <w:r>
        <w:rPr>
          <w:rFonts w:hint="eastAsia"/>
          <w:sz w:val="24"/>
          <w:szCs w:val="24"/>
          <w:lang w:val="en-US" w:eastAsia="zh-CN"/>
        </w:rPr>
        <w:t>辩会，同时完成以上两项考核内容。学院研究生管理人员统一通知导师和学生具体安排及要求，由导师组织答辩会。</w:t>
      </w:r>
    </w:p>
    <w:p w14:paraId="5A19676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学位论文中期检查</w:t>
      </w:r>
    </w:p>
    <w:p w14:paraId="2940CC51">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default"/>
          <w:sz w:val="24"/>
          <w:szCs w:val="24"/>
          <w:lang w:val="en-US" w:eastAsia="zh-CN"/>
        </w:rPr>
      </w:pPr>
      <w:r>
        <w:rPr>
          <w:rFonts w:hint="eastAsia"/>
          <w:sz w:val="24"/>
          <w:szCs w:val="24"/>
          <w:lang w:val="en-US" w:eastAsia="zh-CN"/>
        </w:rPr>
        <w:t>将《上海第二工业大学硕士研究生学位论文中期检查表》（附件1）发给研究生填写完成，导师审核后，电子版（第六点检查小组评议意见之后可空白）需作为附件在“研究生教务”系统的“中期管理”模块中在线填写完所要求内容后上传。纸质版则需要在答辩完成后，填写好第六点检查小组评议意见等后，提交学院研究生秘书存档一份。</w:t>
      </w:r>
    </w:p>
    <w:p w14:paraId="33145151">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default"/>
          <w:sz w:val="24"/>
          <w:szCs w:val="24"/>
          <w:lang w:val="en-US" w:eastAsia="zh-CN"/>
        </w:rPr>
      </w:pPr>
      <w:r>
        <w:rPr>
          <w:rFonts w:hint="eastAsia"/>
          <w:sz w:val="24"/>
          <w:szCs w:val="24"/>
          <w:lang w:val="en-US" w:eastAsia="zh-CN"/>
        </w:rPr>
        <w:t>发给导师，要求导师组织答辩后要完成并提交的材料：</w:t>
      </w:r>
    </w:p>
    <w:p w14:paraId="1ECD5117">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175"/>
        <w:textAlignment w:val="auto"/>
        <w:rPr>
          <w:rFonts w:hint="eastAsia"/>
          <w:sz w:val="24"/>
          <w:szCs w:val="24"/>
          <w:lang w:val="en-US" w:eastAsia="zh-CN"/>
        </w:rPr>
      </w:pPr>
      <w:r>
        <w:rPr>
          <w:rFonts w:hint="eastAsia"/>
          <w:sz w:val="24"/>
          <w:szCs w:val="24"/>
          <w:lang w:val="en-US" w:eastAsia="zh-CN"/>
        </w:rPr>
        <w:t>附件2，学位论文中期检查记录表，学生答辩过程中做好记录，答辩后纸质版提交学院研究生秘书存档一份。</w:t>
      </w:r>
    </w:p>
    <w:p w14:paraId="5E5548DC">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175"/>
        <w:textAlignment w:val="auto"/>
        <w:rPr>
          <w:rFonts w:hint="default"/>
          <w:sz w:val="24"/>
          <w:szCs w:val="24"/>
          <w:lang w:val="en-US" w:eastAsia="zh-CN"/>
        </w:rPr>
      </w:pPr>
      <w:r>
        <w:rPr>
          <w:rFonts w:hint="eastAsia"/>
          <w:sz w:val="24"/>
          <w:szCs w:val="24"/>
          <w:lang w:val="en-US" w:eastAsia="zh-CN"/>
        </w:rPr>
        <w:t>学生答辩现场照片（电子版，每生一张），学院研究生秘书存档。</w:t>
      </w:r>
    </w:p>
    <w:p w14:paraId="7436D8DA">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175"/>
        <w:textAlignment w:val="auto"/>
        <w:rPr>
          <w:rFonts w:hint="default"/>
          <w:sz w:val="24"/>
          <w:szCs w:val="24"/>
          <w:lang w:val="en-US" w:eastAsia="zh-CN"/>
        </w:rPr>
      </w:pPr>
      <w:r>
        <w:rPr>
          <w:rFonts w:hint="eastAsia"/>
          <w:sz w:val="24"/>
          <w:szCs w:val="24"/>
          <w:lang w:val="en-US" w:eastAsia="zh-CN"/>
        </w:rPr>
        <w:t>学生答辩ppt（电子版，每生一份），学院研究生秘书存档。</w:t>
      </w:r>
    </w:p>
    <w:p w14:paraId="2FD96352">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default"/>
          <w:sz w:val="24"/>
          <w:szCs w:val="24"/>
          <w:lang w:val="en-US" w:eastAsia="zh-CN"/>
        </w:rPr>
      </w:pPr>
      <w:r>
        <w:rPr>
          <w:rFonts w:hint="eastAsia"/>
          <w:sz w:val="24"/>
          <w:szCs w:val="24"/>
          <w:lang w:val="en-US" w:eastAsia="zh-CN"/>
        </w:rPr>
        <w:t>其他说明：</w:t>
      </w:r>
    </w:p>
    <w:p w14:paraId="54A2D4AC">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175"/>
        <w:textAlignment w:val="auto"/>
        <w:rPr>
          <w:rFonts w:hint="eastAsia"/>
          <w:sz w:val="24"/>
          <w:szCs w:val="24"/>
          <w:lang w:val="en-US" w:eastAsia="zh-CN"/>
        </w:rPr>
      </w:pPr>
      <w:r>
        <w:rPr>
          <w:rFonts w:hint="eastAsia"/>
          <w:sz w:val="24"/>
          <w:szCs w:val="24"/>
          <w:lang w:val="en-US" w:eastAsia="zh-CN"/>
        </w:rPr>
        <w:t>学位论文中期检查答辩评委不需要打分，答辩完后只需要填写附件1中第六点检查小组评议意见，组长签字。</w:t>
      </w:r>
    </w:p>
    <w:p w14:paraId="479F6A20">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175"/>
        <w:textAlignment w:val="auto"/>
        <w:rPr>
          <w:rFonts w:hint="default"/>
          <w:sz w:val="24"/>
          <w:szCs w:val="24"/>
          <w:lang w:val="en-US" w:eastAsia="zh-CN"/>
        </w:rPr>
      </w:pPr>
      <w:r>
        <w:rPr>
          <w:rFonts w:hint="eastAsia"/>
          <w:sz w:val="24"/>
          <w:szCs w:val="24"/>
          <w:lang w:val="en-US" w:eastAsia="zh-CN"/>
        </w:rPr>
        <w:t>学位论文中期检查的答辩委员会意见和结论需要维护进“研究生教务”系统的“中期管理”</w:t>
      </w:r>
      <w:r>
        <w:rPr>
          <w:rFonts w:hint="eastAsia"/>
          <w:sz w:val="24"/>
          <w:szCs w:val="24"/>
          <w:highlight w:val="none"/>
          <w:lang w:val="en-US" w:eastAsia="zh-CN"/>
        </w:rPr>
        <w:t>模块中（由答辩小组答辩秘书维护）。</w:t>
      </w:r>
    </w:p>
    <w:p w14:paraId="1B500DD7">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175"/>
        <w:textAlignment w:val="auto"/>
        <w:rPr>
          <w:rFonts w:hint="eastAsia"/>
          <w:sz w:val="24"/>
          <w:szCs w:val="24"/>
          <w:highlight w:val="none"/>
          <w:lang w:val="en-US" w:eastAsia="zh-CN"/>
        </w:rPr>
      </w:pPr>
      <w:r>
        <w:rPr>
          <w:rFonts w:hint="eastAsia"/>
          <w:sz w:val="24"/>
          <w:szCs w:val="24"/>
          <w:highlight w:val="none"/>
          <w:lang w:val="en-US" w:eastAsia="zh-CN"/>
        </w:rPr>
        <w:t>答辩的具体要求参照文件《上海第二工业大学研究生学位论文中期检查及学业中期考核规定》由学院研究生管理人员通知到导师和学生。</w:t>
      </w:r>
    </w:p>
    <w:p w14:paraId="4F3F2BD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8" w:leftChars="0" w:firstLine="360" w:firstLineChars="150"/>
        <w:textAlignment w:val="auto"/>
        <w:rPr>
          <w:rFonts w:hint="default"/>
          <w:sz w:val="24"/>
          <w:szCs w:val="24"/>
          <w:lang w:val="en-US" w:eastAsia="zh-CN"/>
        </w:rPr>
      </w:pPr>
      <w:r>
        <w:rPr>
          <w:rFonts w:hint="eastAsia"/>
          <w:sz w:val="24"/>
          <w:szCs w:val="24"/>
          <w:lang w:val="en-US" w:eastAsia="zh-CN"/>
        </w:rPr>
        <w:t>如：论文中期检查与学业中期考核同为一份汇报PPT，学生汇报20分钟，评委提问20分钟。需安排3-5名评委老师，评委须有副高以上职称或博士学位，是否安排校外评委或企业导师参与，由导师自行决定。</w:t>
      </w:r>
    </w:p>
    <w:p w14:paraId="395BE05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sz w:val="24"/>
          <w:szCs w:val="24"/>
          <w:lang w:val="en-US" w:eastAsia="zh-CN"/>
        </w:rPr>
      </w:pPr>
      <w:r>
        <w:rPr>
          <w:rFonts w:hint="eastAsia"/>
          <w:sz w:val="24"/>
          <w:szCs w:val="24"/>
          <w:lang w:val="en-US" w:eastAsia="zh-CN"/>
        </w:rPr>
        <w:t>学业中期考核</w:t>
      </w:r>
    </w:p>
    <w:p w14:paraId="63787C1C">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175"/>
        <w:textAlignment w:val="auto"/>
        <w:rPr>
          <w:rFonts w:hint="default"/>
          <w:sz w:val="24"/>
          <w:szCs w:val="24"/>
          <w:lang w:val="en-US" w:eastAsia="zh-CN"/>
        </w:rPr>
      </w:pPr>
      <w:r>
        <w:rPr>
          <w:rFonts w:hint="eastAsia"/>
          <w:sz w:val="24"/>
          <w:szCs w:val="24"/>
          <w:lang w:val="en-US" w:eastAsia="zh-CN"/>
        </w:rPr>
        <w:t>研究生需在“研究生教务”系统的“中期管理”模块中在线填写完成附件3的“上海第二工业大学硕士研究生学业中期考核表”，导师评语需要导师在线填写，考核结果需要答辩小组的答辩秘书根据答辩考核小组意见在系统中维护。</w:t>
      </w:r>
    </w:p>
    <w:p w14:paraId="4924AA32">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175"/>
        <w:textAlignment w:val="auto"/>
        <w:rPr>
          <w:rFonts w:hint="default"/>
          <w:sz w:val="24"/>
          <w:szCs w:val="24"/>
          <w:lang w:val="en-US" w:eastAsia="zh-CN"/>
        </w:rPr>
      </w:pPr>
      <w:r>
        <w:rPr>
          <w:rFonts w:hint="eastAsia"/>
          <w:sz w:val="24"/>
          <w:szCs w:val="24"/>
          <w:lang w:val="en-US" w:eastAsia="zh-CN"/>
        </w:rPr>
        <w:t>研究生将以上全部内容完成后的学业中期考核表（含考核结果的）打印一份纸质版提交学院研究生秘书存档保存。</w:t>
      </w:r>
    </w:p>
    <w:p w14:paraId="323DEE92">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175"/>
        <w:textAlignment w:val="auto"/>
        <w:rPr>
          <w:rFonts w:hint="default"/>
          <w:sz w:val="24"/>
          <w:szCs w:val="24"/>
          <w:lang w:val="en-US" w:eastAsia="zh-CN"/>
        </w:rPr>
      </w:pPr>
      <w:r>
        <w:rPr>
          <w:rFonts w:hint="eastAsia"/>
          <w:sz w:val="24"/>
          <w:szCs w:val="24"/>
          <w:lang w:val="en-US" w:eastAsia="zh-CN"/>
        </w:rPr>
        <w:t>通知研究生做好学业中期考核汇报的ppt，与学位论文答辩ppt一并做汇报。</w:t>
      </w:r>
    </w:p>
    <w:p w14:paraId="74275656">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175"/>
        <w:textAlignment w:val="auto"/>
        <w:rPr>
          <w:rFonts w:hint="default"/>
          <w:sz w:val="24"/>
          <w:szCs w:val="24"/>
          <w:lang w:val="en-US" w:eastAsia="zh-CN"/>
        </w:rPr>
      </w:pPr>
      <w:r>
        <w:rPr>
          <w:rFonts w:hint="eastAsia"/>
          <w:sz w:val="24"/>
          <w:szCs w:val="24"/>
          <w:lang w:val="en-US" w:eastAsia="zh-CN"/>
        </w:rPr>
        <w:t>学院研究生秘书需在“研究生教务”系统的“中期管理”模块中，维护各答辩小组的秘书身份，之后该答辩小组秘书即可用教职工的身份在系统中完成答辩安排等事项。</w:t>
      </w:r>
    </w:p>
    <w:p w14:paraId="2374F2EB">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175"/>
        <w:textAlignment w:val="auto"/>
        <w:rPr>
          <w:rFonts w:hint="default"/>
          <w:sz w:val="24"/>
          <w:szCs w:val="24"/>
          <w:highlight w:val="none"/>
          <w:lang w:val="en-US" w:eastAsia="zh-CN"/>
        </w:rPr>
      </w:pPr>
      <w:r>
        <w:rPr>
          <w:rFonts w:hint="eastAsia"/>
          <w:sz w:val="24"/>
          <w:szCs w:val="24"/>
          <w:highlight w:val="none"/>
          <w:lang w:val="en-US" w:eastAsia="zh-CN"/>
        </w:rPr>
        <w:t>要求答辩小组秘书完成的事项：</w:t>
      </w:r>
    </w:p>
    <w:p w14:paraId="70462646">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8" w:leftChars="0" w:firstLine="360" w:firstLineChars="150"/>
        <w:textAlignment w:val="auto"/>
        <w:rPr>
          <w:rFonts w:hint="eastAsia"/>
          <w:sz w:val="24"/>
          <w:szCs w:val="24"/>
          <w:highlight w:val="none"/>
          <w:lang w:val="en-US" w:eastAsia="zh-CN"/>
        </w:rPr>
      </w:pPr>
      <w:r>
        <w:rPr>
          <w:rFonts w:hint="eastAsia"/>
          <w:sz w:val="24"/>
          <w:szCs w:val="24"/>
          <w:highlight w:val="none"/>
          <w:lang w:val="en-US" w:eastAsia="zh-CN"/>
        </w:rPr>
        <w:t>在“研究生教务”系统的“中期管理”模块中维护中期安排和中期结果，维护完成后，可导出中期检查安排表，同其他材料一并提交学院研究生秘书存档。</w:t>
      </w:r>
    </w:p>
    <w:p w14:paraId="1ABC775C">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Chars="175"/>
        <w:textAlignment w:val="auto"/>
        <w:rPr>
          <w:rFonts w:hint="default"/>
          <w:sz w:val="24"/>
          <w:szCs w:val="24"/>
          <w:highlight w:val="none"/>
          <w:lang w:val="en-US" w:eastAsia="zh-CN"/>
        </w:rPr>
      </w:pPr>
      <w:r>
        <w:rPr>
          <w:rFonts w:hint="eastAsia"/>
          <w:sz w:val="24"/>
          <w:szCs w:val="24"/>
          <w:highlight w:val="none"/>
          <w:lang w:val="en-US" w:eastAsia="zh-CN"/>
        </w:rPr>
        <w:t>导出工作组签到表。</w:t>
      </w:r>
    </w:p>
    <w:p w14:paraId="7107917D">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175"/>
        <w:textAlignment w:val="auto"/>
        <w:rPr>
          <w:rFonts w:hint="default"/>
          <w:sz w:val="24"/>
          <w:szCs w:val="24"/>
          <w:lang w:val="en-US" w:eastAsia="zh-CN"/>
        </w:rPr>
      </w:pPr>
      <w:r>
        <w:rPr>
          <w:rFonts w:hint="eastAsia"/>
          <w:sz w:val="24"/>
          <w:szCs w:val="24"/>
          <w:lang w:val="en-US" w:eastAsia="zh-CN"/>
        </w:rPr>
        <w:t>要求导师组织答辩后完成并提交的材料：</w:t>
      </w:r>
    </w:p>
    <w:p w14:paraId="7709C9F3">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8" w:leftChars="0" w:firstLine="360" w:firstLineChars="150"/>
        <w:textAlignment w:val="auto"/>
        <w:rPr>
          <w:rFonts w:hint="eastAsia"/>
          <w:sz w:val="24"/>
          <w:szCs w:val="24"/>
          <w:lang w:val="en-US" w:eastAsia="zh-CN"/>
        </w:rPr>
      </w:pPr>
      <w:r>
        <w:rPr>
          <w:rFonts w:hint="eastAsia"/>
          <w:sz w:val="24"/>
          <w:szCs w:val="24"/>
          <w:lang w:val="en-US" w:eastAsia="zh-CN"/>
        </w:rPr>
        <w:t>学业中期考核需要答辩评委打分，每位评委在附件4的评分表上打分并签字，可不做记录和评语。答辩小组秘书最后汇总几位评委的分数，将平均分填到附件4的评分表上，并填写完成下方的“中期考核现场记录及评语”。以上纸质材料均提交学院研究生秘书存档。</w:t>
      </w:r>
    </w:p>
    <w:p w14:paraId="1E201C01">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8" w:leftChars="0" w:firstLine="360" w:firstLineChars="150"/>
        <w:textAlignment w:val="auto"/>
        <w:rPr>
          <w:rFonts w:hint="default"/>
          <w:sz w:val="24"/>
          <w:szCs w:val="24"/>
          <w:lang w:val="en-US" w:eastAsia="zh-CN"/>
        </w:rPr>
      </w:pPr>
      <w:r>
        <w:rPr>
          <w:rFonts w:hint="eastAsia"/>
          <w:sz w:val="24"/>
          <w:szCs w:val="24"/>
          <w:lang w:val="en-US" w:eastAsia="zh-CN"/>
        </w:rPr>
        <w:t>学生答辩ppt一份（和学位论文答辩ppt合在一起即可）。</w:t>
      </w:r>
    </w:p>
    <w:p w14:paraId="1A8CB72F">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8" w:leftChars="0" w:firstLine="360" w:firstLineChars="150"/>
        <w:textAlignment w:val="auto"/>
        <w:rPr>
          <w:rFonts w:hint="default"/>
          <w:sz w:val="24"/>
          <w:szCs w:val="24"/>
          <w:lang w:val="en-US" w:eastAsia="zh-CN"/>
        </w:rPr>
      </w:pPr>
      <w:r>
        <w:rPr>
          <w:rFonts w:hint="eastAsia"/>
          <w:sz w:val="24"/>
          <w:szCs w:val="24"/>
          <w:lang w:val="en-US" w:eastAsia="zh-CN"/>
        </w:rPr>
        <w:t>中期检查安排表（答辩小组秘书维护完成后系统可导出）。</w:t>
      </w:r>
    </w:p>
    <w:p w14:paraId="114040C9">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8" w:leftChars="0" w:firstLine="360" w:firstLineChars="150"/>
        <w:textAlignment w:val="auto"/>
        <w:rPr>
          <w:rFonts w:hint="default"/>
          <w:sz w:val="24"/>
          <w:szCs w:val="24"/>
          <w:lang w:val="en-US" w:eastAsia="zh-CN"/>
        </w:rPr>
      </w:pPr>
      <w:r>
        <w:rPr>
          <w:rFonts w:hint="eastAsia"/>
          <w:sz w:val="24"/>
          <w:szCs w:val="24"/>
          <w:lang w:val="en-US" w:eastAsia="zh-CN"/>
        </w:rPr>
        <w:t>工作组签到表（答辩小组秘书）。</w:t>
      </w:r>
    </w:p>
    <w:p w14:paraId="77236322">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175"/>
        <w:textAlignment w:val="auto"/>
        <w:rPr>
          <w:rFonts w:hint="default"/>
          <w:sz w:val="24"/>
          <w:szCs w:val="24"/>
          <w:lang w:val="en-US" w:eastAsia="zh-CN"/>
        </w:rPr>
      </w:pPr>
      <w:r>
        <w:rPr>
          <w:rFonts w:hint="eastAsia"/>
          <w:sz w:val="24"/>
          <w:szCs w:val="24"/>
          <w:lang w:val="en-US" w:eastAsia="zh-CN"/>
        </w:rPr>
        <w:t>其他说明：</w:t>
      </w:r>
    </w:p>
    <w:p w14:paraId="01E88C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175"/>
        <w:textAlignment w:val="auto"/>
        <w:rPr>
          <w:rFonts w:hint="default"/>
          <w:sz w:val="24"/>
          <w:szCs w:val="24"/>
          <w:lang w:val="en-US" w:eastAsia="zh-CN"/>
        </w:rPr>
      </w:pPr>
      <w:r>
        <w:rPr>
          <w:rFonts w:hint="eastAsia"/>
          <w:sz w:val="24"/>
          <w:szCs w:val="24"/>
          <w:lang w:val="en-US" w:eastAsia="zh-CN"/>
        </w:rPr>
        <w:t xml:space="preserve"> 三门以上课程或实践未获得学分、科研能力不足者，给予警告，并延缓学业中期考核。请答辩考核小组老师认真审核研究生的学业中期考核表。提醒研究生在申请学位资格之前学分务必完成，如有未获得的课程学分，及时重修。</w:t>
      </w:r>
    </w:p>
    <w:p w14:paraId="666CF99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sz w:val="24"/>
          <w:szCs w:val="24"/>
          <w:lang w:val="en-US" w:eastAsia="zh-CN"/>
        </w:rPr>
      </w:pPr>
    </w:p>
    <w:p w14:paraId="308BF9A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175"/>
        <w:textAlignment w:val="auto"/>
        <w:rPr>
          <w:rFonts w:hint="eastAsia"/>
          <w:sz w:val="24"/>
          <w:szCs w:val="24"/>
          <w:lang w:val="en-US" w:eastAsia="zh-CN"/>
        </w:rPr>
      </w:pPr>
    </w:p>
    <w:p w14:paraId="7D4478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175"/>
        <w:textAlignment w:val="auto"/>
        <w:rPr>
          <w:rFonts w:hint="eastAsia"/>
          <w:sz w:val="24"/>
          <w:szCs w:val="24"/>
          <w:lang w:val="en-US" w:eastAsia="zh-CN"/>
        </w:rPr>
      </w:pPr>
    </w:p>
    <w:p w14:paraId="2082AC3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175"/>
        <w:textAlignment w:val="auto"/>
        <w:rPr>
          <w:rFonts w:hint="eastAsia"/>
          <w:sz w:val="24"/>
          <w:szCs w:val="24"/>
          <w:lang w:val="en-US" w:eastAsia="zh-CN"/>
        </w:rPr>
      </w:pPr>
      <w:r>
        <w:rPr>
          <w:rFonts w:hint="eastAsia"/>
          <w:sz w:val="24"/>
          <w:szCs w:val="24"/>
          <w:lang w:val="en-US" w:eastAsia="zh-CN"/>
        </w:rPr>
        <w:t xml:space="preserve">                                                       研究生部</w:t>
      </w:r>
    </w:p>
    <w:p w14:paraId="22A95A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175"/>
        <w:textAlignment w:val="auto"/>
        <w:rPr>
          <w:rFonts w:hint="default"/>
          <w:sz w:val="24"/>
          <w:szCs w:val="24"/>
          <w:lang w:val="en-US" w:eastAsia="zh-CN"/>
        </w:rPr>
      </w:pPr>
      <w:r>
        <w:rPr>
          <w:rFonts w:hint="eastAsia"/>
          <w:sz w:val="24"/>
          <w:szCs w:val="24"/>
          <w:lang w:val="en-US" w:eastAsia="zh-CN"/>
        </w:rPr>
        <w:t xml:space="preserve">                                                        2024.09</w:t>
      </w:r>
    </w:p>
    <w:p w14:paraId="583765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75"/>
        <w:textAlignment w:val="auto"/>
        <w:rPr>
          <w:rFonts w:hint="default"/>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FAE375"/>
    <w:multiLevelType w:val="singleLevel"/>
    <w:tmpl w:val="8AFAE375"/>
    <w:lvl w:ilvl="0" w:tentative="0">
      <w:start w:val="1"/>
      <w:numFmt w:val="chineseCounting"/>
      <w:suff w:val="nothing"/>
      <w:lvlText w:val="%1、"/>
      <w:lvlJc w:val="left"/>
      <w:rPr>
        <w:rFonts w:hint="eastAsia"/>
      </w:rPr>
    </w:lvl>
  </w:abstractNum>
  <w:abstractNum w:abstractNumId="1">
    <w:nsid w:val="97B253B6"/>
    <w:multiLevelType w:val="singleLevel"/>
    <w:tmpl w:val="97B253B6"/>
    <w:lvl w:ilvl="0" w:tentative="0">
      <w:start w:val="1"/>
      <w:numFmt w:val="decimal"/>
      <w:suff w:val="space"/>
      <w:lvlText w:val="%1."/>
      <w:lvlJc w:val="left"/>
      <w:pPr>
        <w:ind w:left="480" w:leftChars="0" w:firstLine="0" w:firstLineChars="0"/>
      </w:pPr>
    </w:lvl>
  </w:abstractNum>
  <w:abstractNum w:abstractNumId="2">
    <w:nsid w:val="A5CDF61C"/>
    <w:multiLevelType w:val="singleLevel"/>
    <w:tmpl w:val="A5CDF61C"/>
    <w:lvl w:ilvl="0" w:tentative="0">
      <w:start w:val="1"/>
      <w:numFmt w:val="decimal"/>
      <w:suff w:val="nothing"/>
      <w:lvlText w:val="%1）"/>
      <w:lvlJc w:val="left"/>
    </w:lvl>
  </w:abstractNum>
  <w:abstractNum w:abstractNumId="3">
    <w:nsid w:val="122F0A7E"/>
    <w:multiLevelType w:val="singleLevel"/>
    <w:tmpl w:val="122F0A7E"/>
    <w:lvl w:ilvl="0" w:tentative="0">
      <w:start w:val="1"/>
      <w:numFmt w:val="decimal"/>
      <w:suff w:val="nothing"/>
      <w:lvlText w:val="%1）"/>
      <w:lvlJc w:val="left"/>
    </w:lvl>
  </w:abstractNum>
  <w:abstractNum w:abstractNumId="4">
    <w:nsid w:val="3EA74FA3"/>
    <w:multiLevelType w:val="singleLevel"/>
    <w:tmpl w:val="3EA74FA3"/>
    <w:lvl w:ilvl="0" w:tentative="0">
      <w:start w:val="1"/>
      <w:numFmt w:val="decimal"/>
      <w:suff w:val="nothing"/>
      <w:lvlText w:val="%1）"/>
      <w:lvlJc w:val="left"/>
    </w:lvl>
  </w:abstractNum>
  <w:abstractNum w:abstractNumId="5">
    <w:nsid w:val="50CCF4A1"/>
    <w:multiLevelType w:val="singleLevel"/>
    <w:tmpl w:val="50CCF4A1"/>
    <w:lvl w:ilvl="0" w:tentative="0">
      <w:start w:val="1"/>
      <w:numFmt w:val="decimal"/>
      <w:suff w:val="nothing"/>
      <w:lvlText w:val="%1）"/>
      <w:lvlJc w:val="left"/>
    </w:lvl>
  </w:abstractNum>
  <w:abstractNum w:abstractNumId="6">
    <w:nsid w:val="522CEDB2"/>
    <w:multiLevelType w:val="singleLevel"/>
    <w:tmpl w:val="522CEDB2"/>
    <w:lvl w:ilvl="0" w:tentative="0">
      <w:start w:val="1"/>
      <w:numFmt w:val="decimal"/>
      <w:suff w:val="space"/>
      <w:lvlText w:val="%1."/>
      <w:lvlJc w:val="left"/>
    </w:lvl>
  </w:abstractNum>
  <w:num w:numId="1">
    <w:abstractNumId w:val="0"/>
  </w:num>
  <w:num w:numId="2">
    <w:abstractNumId w:val="1"/>
  </w:num>
  <w:num w:numId="3">
    <w:abstractNumId w:val="3"/>
  </w:num>
  <w:num w:numId="4">
    <w:abstractNumId w:val="5"/>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wOTM1Nzc2MjIyYjNiOWI4NzIyNzNjODE3ZDE1M2MifQ=="/>
  </w:docVars>
  <w:rsids>
    <w:rsidRoot w:val="5F514FAE"/>
    <w:rsid w:val="02B7624C"/>
    <w:rsid w:val="04F1299F"/>
    <w:rsid w:val="05985A19"/>
    <w:rsid w:val="0DF93BBD"/>
    <w:rsid w:val="0FDB4B9B"/>
    <w:rsid w:val="112E1359"/>
    <w:rsid w:val="11794E2F"/>
    <w:rsid w:val="120174E4"/>
    <w:rsid w:val="19724D52"/>
    <w:rsid w:val="1A4C68B1"/>
    <w:rsid w:val="1B0444AF"/>
    <w:rsid w:val="1CE20762"/>
    <w:rsid w:val="202A5229"/>
    <w:rsid w:val="20F12FB0"/>
    <w:rsid w:val="22715FC0"/>
    <w:rsid w:val="23181618"/>
    <w:rsid w:val="23BF14DE"/>
    <w:rsid w:val="25043A04"/>
    <w:rsid w:val="26D6315E"/>
    <w:rsid w:val="270D0281"/>
    <w:rsid w:val="2758774E"/>
    <w:rsid w:val="28B101CA"/>
    <w:rsid w:val="2A857986"/>
    <w:rsid w:val="2D662499"/>
    <w:rsid w:val="2E91253C"/>
    <w:rsid w:val="2F4C375B"/>
    <w:rsid w:val="2FDE37E4"/>
    <w:rsid w:val="31DC320D"/>
    <w:rsid w:val="32317416"/>
    <w:rsid w:val="3339370D"/>
    <w:rsid w:val="34550321"/>
    <w:rsid w:val="34735BC7"/>
    <w:rsid w:val="351822F9"/>
    <w:rsid w:val="354513AC"/>
    <w:rsid w:val="36AC01E4"/>
    <w:rsid w:val="397B6145"/>
    <w:rsid w:val="3B810365"/>
    <w:rsid w:val="3FC22229"/>
    <w:rsid w:val="403853C7"/>
    <w:rsid w:val="40582115"/>
    <w:rsid w:val="40CB0B39"/>
    <w:rsid w:val="41004C87"/>
    <w:rsid w:val="425B0F6B"/>
    <w:rsid w:val="42EB101F"/>
    <w:rsid w:val="42F223AD"/>
    <w:rsid w:val="44BB54F5"/>
    <w:rsid w:val="453F38A4"/>
    <w:rsid w:val="45A74C97"/>
    <w:rsid w:val="48741AB6"/>
    <w:rsid w:val="489839F7"/>
    <w:rsid w:val="4A47120B"/>
    <w:rsid w:val="4B325E17"/>
    <w:rsid w:val="4C1B0BC7"/>
    <w:rsid w:val="4C8B61B5"/>
    <w:rsid w:val="4D1D256E"/>
    <w:rsid w:val="4D8F0AF8"/>
    <w:rsid w:val="4E5C1022"/>
    <w:rsid w:val="4FE63299"/>
    <w:rsid w:val="533A2C4C"/>
    <w:rsid w:val="53542C10"/>
    <w:rsid w:val="53D33B35"/>
    <w:rsid w:val="576D474B"/>
    <w:rsid w:val="5C904CB9"/>
    <w:rsid w:val="5D5F36E1"/>
    <w:rsid w:val="5F514FAE"/>
    <w:rsid w:val="5F5D0513"/>
    <w:rsid w:val="60EC26DA"/>
    <w:rsid w:val="61017A8B"/>
    <w:rsid w:val="61694648"/>
    <w:rsid w:val="621041A6"/>
    <w:rsid w:val="6475251A"/>
    <w:rsid w:val="64A4331D"/>
    <w:rsid w:val="68E63EB3"/>
    <w:rsid w:val="6C260698"/>
    <w:rsid w:val="6C5C789B"/>
    <w:rsid w:val="6D256375"/>
    <w:rsid w:val="6EA7284F"/>
    <w:rsid w:val="6FD81756"/>
    <w:rsid w:val="72D01395"/>
    <w:rsid w:val="75371D1E"/>
    <w:rsid w:val="75526B58"/>
    <w:rsid w:val="78487104"/>
    <w:rsid w:val="78D1781B"/>
    <w:rsid w:val="7BCD517A"/>
    <w:rsid w:val="7C66113B"/>
    <w:rsid w:val="7D354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1213</Words>
  <Characters>1235</Characters>
  <Lines>0</Lines>
  <Paragraphs>0</Paragraphs>
  <TotalTime>5</TotalTime>
  <ScaleCrop>false</ScaleCrop>
  <LinksUpToDate>false</LinksUpToDate>
  <CharactersWithSpaces>1347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2024-09-03T08:31:00Z</dcterms:created>
  <dc:creator>M420</dc:creator>
  <cp:lastModifiedBy>M420</cp:lastModifiedBy>
  <dcterms:modified xsi:type="dcterms:W3CDTF">2024-09-03T23:59:13Z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1A4573222CD542E0A9EABDA6D601BE40_11</vt:lpwstr>
  </property>
</Properties>
</file>